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EA" w:rsidRDefault="00DF54EA">
      <w:pPr>
        <w:rPr>
          <w:rFonts w:ascii="Times New Roman" w:hAnsi="Times New Roman" w:cs="Times New Roman"/>
          <w:b/>
          <w:sz w:val="24"/>
          <w:szCs w:val="24"/>
        </w:rPr>
      </w:pPr>
    </w:p>
    <w:p w:rsidR="00DF54EA" w:rsidRDefault="00DF54EA">
      <w:pPr>
        <w:rPr>
          <w:rFonts w:ascii="Times New Roman" w:hAnsi="Times New Roman" w:cs="Times New Roman"/>
          <w:b/>
          <w:sz w:val="24"/>
          <w:szCs w:val="24"/>
        </w:rPr>
      </w:pPr>
    </w:p>
    <w:p w:rsidR="00DF54EA" w:rsidRDefault="00DF54EA">
      <w:pPr>
        <w:rPr>
          <w:rFonts w:ascii="Times New Roman" w:hAnsi="Times New Roman" w:cs="Times New Roman"/>
          <w:b/>
          <w:sz w:val="24"/>
          <w:szCs w:val="24"/>
        </w:rPr>
      </w:pPr>
    </w:p>
    <w:p w:rsidR="00DF54EA" w:rsidRDefault="00DF54EA">
      <w:pPr>
        <w:rPr>
          <w:rFonts w:ascii="Times New Roman" w:hAnsi="Times New Roman" w:cs="Times New Roman"/>
          <w:b/>
          <w:sz w:val="24"/>
          <w:szCs w:val="24"/>
        </w:rPr>
      </w:pPr>
    </w:p>
    <w:p w:rsidR="00DF54EA" w:rsidRDefault="00DF54EA">
      <w:pPr>
        <w:rPr>
          <w:rFonts w:ascii="Times New Roman" w:hAnsi="Times New Roman" w:cs="Times New Roman"/>
          <w:b/>
          <w:sz w:val="24"/>
          <w:szCs w:val="24"/>
        </w:rPr>
      </w:pPr>
    </w:p>
    <w:p w:rsidR="00D50850" w:rsidRDefault="00D50850" w:rsidP="00D50850">
      <w:pPr>
        <w:spacing w:line="480" w:lineRule="auto"/>
        <w:rPr>
          <w:rFonts w:ascii="Times New Roman" w:eastAsiaTheme="minorHAnsi" w:hAnsi="Times New Roman" w:cs="Times New Roman"/>
          <w:b/>
          <w:sz w:val="24"/>
          <w:szCs w:val="24"/>
        </w:rPr>
      </w:pPr>
    </w:p>
    <w:p w:rsidR="00E92194" w:rsidRDefault="00E92194" w:rsidP="00D50850">
      <w:pPr>
        <w:spacing w:line="480" w:lineRule="auto"/>
        <w:rPr>
          <w:rFonts w:ascii="Times New Roman" w:eastAsiaTheme="minorHAnsi" w:hAnsi="Times New Roman" w:cs="Times New Roman"/>
          <w:b/>
          <w:sz w:val="24"/>
          <w:szCs w:val="24"/>
        </w:rPr>
      </w:pPr>
    </w:p>
    <w:p w:rsidR="00E92194" w:rsidRDefault="00E92194" w:rsidP="00D50850">
      <w:pPr>
        <w:spacing w:line="480" w:lineRule="auto"/>
        <w:rPr>
          <w:rFonts w:ascii="Times New Roman" w:eastAsiaTheme="minorHAnsi" w:hAnsi="Times New Roman" w:cs="Times New Roman"/>
          <w:b/>
          <w:sz w:val="24"/>
          <w:szCs w:val="24"/>
        </w:rPr>
      </w:pPr>
    </w:p>
    <w:p w:rsidR="00E92194" w:rsidRDefault="00E92194" w:rsidP="00D50850">
      <w:pPr>
        <w:spacing w:line="480" w:lineRule="auto"/>
        <w:rPr>
          <w:rFonts w:ascii="Times New Roman" w:eastAsiaTheme="minorHAnsi" w:hAnsi="Times New Roman" w:cs="Times New Roman"/>
          <w:b/>
          <w:sz w:val="24"/>
          <w:szCs w:val="24"/>
        </w:rPr>
      </w:pPr>
    </w:p>
    <w:p w:rsidR="00E92194" w:rsidRDefault="00E92194" w:rsidP="00D50850">
      <w:pPr>
        <w:spacing w:line="480" w:lineRule="auto"/>
        <w:rPr>
          <w:rFonts w:ascii="Times New Roman" w:eastAsiaTheme="minorHAnsi" w:hAnsi="Times New Roman" w:cs="Times New Roman"/>
          <w:b/>
          <w:sz w:val="24"/>
          <w:szCs w:val="24"/>
        </w:rPr>
      </w:pPr>
    </w:p>
    <w:p w:rsidR="00E92194" w:rsidRDefault="00E92194" w:rsidP="00D50850">
      <w:pPr>
        <w:spacing w:line="480" w:lineRule="auto"/>
        <w:rPr>
          <w:rFonts w:ascii="Times New Roman" w:eastAsiaTheme="minorHAnsi" w:hAnsi="Times New Roman" w:cs="Times New Roman"/>
          <w:b/>
          <w:sz w:val="24"/>
          <w:szCs w:val="24"/>
        </w:rPr>
      </w:pPr>
    </w:p>
    <w:p w:rsidR="00E92194" w:rsidRDefault="00E92194" w:rsidP="00D50850">
      <w:pPr>
        <w:spacing w:line="480" w:lineRule="auto"/>
        <w:rPr>
          <w:rFonts w:ascii="Times New Roman" w:eastAsiaTheme="minorHAnsi" w:hAnsi="Times New Roman" w:cs="Times New Roman"/>
          <w:b/>
          <w:sz w:val="24"/>
          <w:szCs w:val="24"/>
        </w:rPr>
      </w:pPr>
    </w:p>
    <w:p w:rsidR="00E92194" w:rsidRDefault="00E92194" w:rsidP="00D50850">
      <w:pPr>
        <w:spacing w:line="480" w:lineRule="auto"/>
        <w:rPr>
          <w:rFonts w:ascii="Times New Roman" w:eastAsiaTheme="minorHAnsi" w:hAnsi="Times New Roman" w:cs="Times New Roman"/>
          <w:b/>
          <w:sz w:val="24"/>
          <w:szCs w:val="24"/>
        </w:rPr>
      </w:pPr>
    </w:p>
    <w:p w:rsidR="00E92194" w:rsidRDefault="00E92194" w:rsidP="00D50850">
      <w:pPr>
        <w:spacing w:line="480" w:lineRule="auto"/>
        <w:rPr>
          <w:rFonts w:ascii="Times New Roman" w:eastAsiaTheme="minorHAnsi" w:hAnsi="Times New Roman" w:cs="Times New Roman"/>
          <w:b/>
          <w:sz w:val="24"/>
          <w:szCs w:val="24"/>
        </w:rPr>
      </w:pPr>
    </w:p>
    <w:p w:rsidR="00002992" w:rsidRDefault="00002992" w:rsidP="00D50850">
      <w:pPr>
        <w:spacing w:line="480" w:lineRule="auto"/>
        <w:rPr>
          <w:rFonts w:ascii="Times New Roman" w:eastAsiaTheme="minorHAnsi" w:hAnsi="Times New Roman" w:cs="Times New Roman"/>
          <w:b/>
          <w:sz w:val="24"/>
          <w:szCs w:val="24"/>
        </w:rPr>
      </w:pPr>
    </w:p>
    <w:p w:rsidR="00002992" w:rsidRDefault="00002992" w:rsidP="00D50850">
      <w:pPr>
        <w:spacing w:line="480" w:lineRule="auto"/>
        <w:rPr>
          <w:rFonts w:ascii="Times New Roman" w:eastAsiaTheme="minorHAnsi" w:hAnsi="Times New Roman" w:cs="Times New Roman"/>
          <w:b/>
          <w:sz w:val="24"/>
          <w:szCs w:val="24"/>
        </w:rPr>
      </w:pPr>
    </w:p>
    <w:p w:rsidR="00002992" w:rsidRDefault="00002992" w:rsidP="00D50850">
      <w:pPr>
        <w:spacing w:line="480" w:lineRule="auto"/>
        <w:rPr>
          <w:rFonts w:ascii="Times New Roman" w:eastAsiaTheme="minorHAnsi" w:hAnsi="Times New Roman" w:cs="Times New Roman"/>
          <w:b/>
          <w:sz w:val="24"/>
          <w:szCs w:val="24"/>
        </w:rPr>
      </w:pPr>
    </w:p>
    <w:p w:rsidR="00002992" w:rsidRDefault="00002992" w:rsidP="00D50850">
      <w:pPr>
        <w:spacing w:line="480" w:lineRule="auto"/>
        <w:rPr>
          <w:rFonts w:ascii="Times New Roman" w:eastAsiaTheme="minorHAnsi" w:hAnsi="Times New Roman" w:cs="Times New Roman"/>
          <w:b/>
          <w:sz w:val="24"/>
          <w:szCs w:val="24"/>
        </w:rPr>
      </w:pPr>
    </w:p>
    <w:p w:rsidR="00D50850" w:rsidRPr="00D50850" w:rsidRDefault="00D50850" w:rsidP="00D50850">
      <w:pPr>
        <w:spacing w:line="480" w:lineRule="auto"/>
        <w:rPr>
          <w:rFonts w:ascii="Times New Roman" w:eastAsiaTheme="minorHAnsi" w:hAnsi="Times New Roman" w:cs="Times New Roman"/>
          <w:sz w:val="24"/>
          <w:szCs w:val="24"/>
        </w:rPr>
      </w:pPr>
      <w:bookmarkStart w:id="0" w:name="_GoBack"/>
      <w:bookmarkEnd w:id="0"/>
      <w:r w:rsidRPr="00D50850">
        <w:rPr>
          <w:rFonts w:ascii="Times New Roman" w:eastAsiaTheme="minorHAnsi" w:hAnsi="Times New Roman" w:cs="Times New Roman"/>
          <w:sz w:val="24"/>
          <w:szCs w:val="24"/>
        </w:rPr>
        <w:t>External financing</w:t>
      </w:r>
      <w:r w:rsidR="00272B75">
        <w:rPr>
          <w:rFonts w:ascii="Times New Roman" w:eastAsiaTheme="minorHAnsi" w:hAnsi="Times New Roman" w:cs="Times New Roman"/>
          <w:sz w:val="24"/>
          <w:szCs w:val="24"/>
        </w:rPr>
        <w:t xml:space="preserve"> is an invaluab</w:t>
      </w:r>
      <w:r w:rsidR="00F06985">
        <w:rPr>
          <w:rFonts w:ascii="Times New Roman" w:eastAsiaTheme="minorHAnsi" w:hAnsi="Times New Roman" w:cs="Times New Roman"/>
          <w:sz w:val="24"/>
          <w:szCs w:val="24"/>
        </w:rPr>
        <w:t xml:space="preserve">le resource </w:t>
      </w:r>
      <w:r w:rsidR="00EB0BF3">
        <w:rPr>
          <w:rFonts w:ascii="Times New Roman" w:eastAsiaTheme="minorHAnsi" w:hAnsi="Times New Roman" w:cs="Times New Roman"/>
          <w:sz w:val="24"/>
          <w:szCs w:val="24"/>
        </w:rPr>
        <w:t>to provide funding for a business. There are two different types of financing that involve debt and equity</w:t>
      </w:r>
      <w:r w:rsidRPr="00D50850">
        <w:rPr>
          <w:rFonts w:ascii="Times New Roman" w:eastAsiaTheme="minorHAnsi" w:hAnsi="Times New Roman" w:cs="Times New Roman"/>
          <w:sz w:val="24"/>
          <w:szCs w:val="24"/>
        </w:rPr>
        <w:t xml:space="preserve">. Debt financing involves bank loans </w:t>
      </w:r>
      <w:r w:rsidR="00EB0BF3">
        <w:rPr>
          <w:rFonts w:ascii="Times New Roman" w:eastAsiaTheme="minorHAnsi" w:hAnsi="Times New Roman" w:cs="Times New Roman"/>
          <w:sz w:val="24"/>
          <w:szCs w:val="24"/>
        </w:rPr>
        <w:t>investments from outside in</w:t>
      </w:r>
      <w:r w:rsidR="00F06985">
        <w:rPr>
          <w:rFonts w:ascii="Times New Roman" w:eastAsiaTheme="minorHAnsi" w:hAnsi="Times New Roman" w:cs="Times New Roman"/>
          <w:sz w:val="24"/>
          <w:szCs w:val="24"/>
        </w:rPr>
        <w:t>vestors and lenders who provide</w:t>
      </w:r>
      <w:r w:rsidR="00EB0BF3">
        <w:rPr>
          <w:rFonts w:ascii="Times New Roman" w:eastAsiaTheme="minorHAnsi" w:hAnsi="Times New Roman" w:cs="Times New Roman"/>
          <w:sz w:val="24"/>
          <w:szCs w:val="24"/>
        </w:rPr>
        <w:t xml:space="preserve"> financing</w:t>
      </w:r>
      <w:r w:rsidR="00B018E7">
        <w:rPr>
          <w:rFonts w:ascii="Times New Roman" w:eastAsiaTheme="minorHAnsi" w:hAnsi="Times New Roman" w:cs="Times New Roman"/>
          <w:sz w:val="24"/>
          <w:szCs w:val="24"/>
        </w:rPr>
        <w:t xml:space="preserve"> to fund or grow business operations. </w:t>
      </w:r>
      <w:r w:rsidR="00EB0BF3">
        <w:rPr>
          <w:rFonts w:ascii="Times New Roman" w:eastAsiaTheme="minorHAnsi" w:hAnsi="Times New Roman" w:cs="Times New Roman"/>
          <w:sz w:val="24"/>
          <w:szCs w:val="24"/>
        </w:rPr>
        <w:t xml:space="preserve"> </w:t>
      </w:r>
      <w:r w:rsidRPr="00D50850">
        <w:rPr>
          <w:rFonts w:ascii="Times New Roman" w:eastAsiaTheme="minorHAnsi" w:hAnsi="Times New Roman" w:cs="Times New Roman"/>
          <w:sz w:val="24"/>
          <w:szCs w:val="24"/>
        </w:rPr>
        <w:t>On the other hand equity financing involves a procedure where a company decides to give its ownership in order to raise funds. This paper provides details on the comprehensive income as a result of the change</w:t>
      </w:r>
      <w:r>
        <w:rPr>
          <w:rFonts w:ascii="Times New Roman" w:eastAsiaTheme="minorHAnsi" w:hAnsi="Times New Roman" w:cs="Times New Roman"/>
          <w:sz w:val="24"/>
          <w:szCs w:val="24"/>
        </w:rPr>
        <w:t xml:space="preserve"> in the equity (net assets) of Coca-Cola</w:t>
      </w:r>
      <w:r w:rsidRPr="00D50850">
        <w:rPr>
          <w:rFonts w:ascii="Times New Roman" w:eastAsiaTheme="minorHAnsi" w:hAnsi="Times New Roman" w:cs="Times New Roman"/>
          <w:sz w:val="24"/>
          <w:szCs w:val="24"/>
        </w:rPr>
        <w:t xml:space="preserve"> Company with a great concern with the company’s future external financial needs. It covers the company’s ability to make cash from their operating activities that are part of their main financial strength as explained from the company’s liquidity, capital, and financial position.</w:t>
      </w:r>
    </w:p>
    <w:p w:rsidR="00D50850" w:rsidRPr="00D50850" w:rsidRDefault="00D50850" w:rsidP="00D50850">
      <w:pPr>
        <w:spacing w:line="480" w:lineRule="auto"/>
        <w:rPr>
          <w:rFonts w:ascii="Times New Roman" w:eastAsiaTheme="minorHAnsi" w:hAnsi="Times New Roman" w:cs="Times New Roman"/>
          <w:b/>
          <w:sz w:val="24"/>
          <w:szCs w:val="24"/>
        </w:rPr>
      </w:pPr>
      <w:r w:rsidRPr="00D50850">
        <w:rPr>
          <w:rFonts w:ascii="Times New Roman" w:eastAsiaTheme="minorHAnsi" w:hAnsi="Times New Roman" w:cs="Times New Roman"/>
          <w:b/>
          <w:sz w:val="24"/>
          <w:szCs w:val="24"/>
        </w:rPr>
        <w:t>Analysis of Liquidity, capital sources and financial position</w:t>
      </w:r>
    </w:p>
    <w:p w:rsidR="00D50850" w:rsidRPr="00D50850" w:rsidRDefault="00D50850" w:rsidP="00D50850">
      <w:pPr>
        <w:spacing w:line="48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Coca-Cola Company</w:t>
      </w:r>
      <w:r w:rsidR="00FE5F5E">
        <w:rPr>
          <w:rFonts w:ascii="Times New Roman" w:eastAsiaTheme="minorHAnsi" w:hAnsi="Times New Roman" w:cs="Times New Roman"/>
          <w:sz w:val="24"/>
          <w:szCs w:val="24"/>
        </w:rPr>
        <w:t xml:space="preserve"> relies on financial strategies to boost capital. This is accomplished</w:t>
      </w:r>
      <w:r w:rsidR="00F06985">
        <w:rPr>
          <w:rFonts w:ascii="Times New Roman" w:eastAsiaTheme="minorHAnsi" w:hAnsi="Times New Roman" w:cs="Times New Roman"/>
          <w:sz w:val="24"/>
          <w:szCs w:val="24"/>
        </w:rPr>
        <w:t xml:space="preserve"> through external financing</w:t>
      </w:r>
      <w:r w:rsidR="00FE5F5E">
        <w:rPr>
          <w:rFonts w:ascii="Times New Roman" w:eastAsiaTheme="minorHAnsi" w:hAnsi="Times New Roman" w:cs="Times New Roman"/>
          <w:sz w:val="24"/>
          <w:szCs w:val="24"/>
        </w:rPr>
        <w:t xml:space="preserve"> to increase cash flow. This company’s capital structure does not rely on issuance of stocks alone, it utilizes </w:t>
      </w:r>
      <w:r w:rsidRPr="00D50850">
        <w:rPr>
          <w:rFonts w:ascii="Times New Roman" w:eastAsiaTheme="minorHAnsi" w:hAnsi="Times New Roman" w:cs="Times New Roman"/>
          <w:sz w:val="24"/>
          <w:szCs w:val="24"/>
        </w:rPr>
        <w:t>debt</w:t>
      </w:r>
      <w:r w:rsidR="00FE5F5E">
        <w:rPr>
          <w:rFonts w:ascii="Times New Roman" w:eastAsiaTheme="minorHAnsi" w:hAnsi="Times New Roman" w:cs="Times New Roman"/>
          <w:sz w:val="24"/>
          <w:szCs w:val="24"/>
        </w:rPr>
        <w:t xml:space="preserve"> financing to lower overall cost of capital, which increases our return to shareholders equity</w:t>
      </w:r>
      <w:r w:rsidRPr="00D50850">
        <w:rPr>
          <w:rFonts w:ascii="Times New Roman" w:eastAsiaTheme="minorHAnsi" w:hAnsi="Times New Roman" w:cs="Times New Roman"/>
          <w:sz w:val="24"/>
          <w:szCs w:val="24"/>
        </w:rPr>
        <w:t xml:space="preserve"> (Boone, L., Kurtz, D., &amp; Qualman, E. (2011). The company’s debt financing involves the following:</w:t>
      </w:r>
    </w:p>
    <w:p w:rsidR="00D50850" w:rsidRPr="00D50850" w:rsidRDefault="00D50850" w:rsidP="00D50850">
      <w:pPr>
        <w:spacing w:line="480" w:lineRule="auto"/>
        <w:rPr>
          <w:rFonts w:ascii="Times New Roman" w:eastAsiaTheme="minorHAnsi" w:hAnsi="Times New Roman" w:cs="Times New Roman"/>
          <w:b/>
          <w:sz w:val="24"/>
          <w:szCs w:val="24"/>
        </w:rPr>
      </w:pPr>
      <w:r w:rsidRPr="00D50850">
        <w:rPr>
          <w:rFonts w:ascii="Times New Roman" w:eastAsiaTheme="minorHAnsi" w:hAnsi="Times New Roman" w:cs="Times New Roman"/>
          <w:b/>
          <w:sz w:val="24"/>
          <w:szCs w:val="24"/>
        </w:rPr>
        <w:t>Use of the extensive commercial paper program</w:t>
      </w:r>
    </w:p>
    <w:p w:rsidR="004F5E86" w:rsidRDefault="00D50850" w:rsidP="004F5E86">
      <w:pPr>
        <w:spacing w:line="480" w:lineRule="auto"/>
        <w:rPr>
          <w:rFonts w:ascii="Times New Roman" w:eastAsiaTheme="minorHAnsi" w:hAnsi="Times New Roman" w:cs="Times New Roman"/>
          <w:sz w:val="24"/>
          <w:szCs w:val="24"/>
        </w:rPr>
      </w:pPr>
      <w:r w:rsidRPr="00D50850">
        <w:rPr>
          <w:rFonts w:ascii="Times New Roman" w:eastAsiaTheme="minorHAnsi" w:hAnsi="Times New Roman" w:cs="Times New Roman"/>
          <w:sz w:val="24"/>
          <w:szCs w:val="24"/>
        </w:rPr>
        <w:t xml:space="preserve">The extensive commercial paper program </w:t>
      </w:r>
      <w:r w:rsidR="00315F05">
        <w:rPr>
          <w:rFonts w:ascii="Times New Roman" w:eastAsiaTheme="minorHAnsi" w:hAnsi="Times New Roman" w:cs="Times New Roman"/>
          <w:sz w:val="24"/>
          <w:szCs w:val="24"/>
        </w:rPr>
        <w:t xml:space="preserve">has been </w:t>
      </w:r>
      <w:r w:rsidR="00231E22">
        <w:rPr>
          <w:rFonts w:ascii="Times New Roman" w:eastAsiaTheme="minorHAnsi" w:hAnsi="Times New Roman" w:cs="Times New Roman"/>
          <w:sz w:val="24"/>
          <w:szCs w:val="24"/>
        </w:rPr>
        <w:t xml:space="preserve">instrumental </w:t>
      </w:r>
      <w:r w:rsidR="00315F05">
        <w:rPr>
          <w:rFonts w:ascii="Times New Roman" w:eastAsiaTheme="minorHAnsi" w:hAnsi="Times New Roman" w:cs="Times New Roman"/>
          <w:sz w:val="24"/>
          <w:szCs w:val="24"/>
        </w:rPr>
        <w:t>for</w:t>
      </w:r>
      <w:r w:rsidR="00231E22">
        <w:rPr>
          <w:rFonts w:ascii="Times New Roman" w:eastAsiaTheme="minorHAnsi" w:hAnsi="Times New Roman" w:cs="Times New Roman"/>
          <w:sz w:val="24"/>
          <w:szCs w:val="24"/>
        </w:rPr>
        <w:t xml:space="preserve"> Coca-Cola’s cash management strategy.</w:t>
      </w:r>
      <w:r w:rsidRPr="00D50850">
        <w:rPr>
          <w:rFonts w:ascii="Times New Roman" w:eastAsiaTheme="minorHAnsi" w:hAnsi="Times New Roman" w:cs="Times New Roman"/>
          <w:sz w:val="24"/>
          <w:szCs w:val="24"/>
        </w:rPr>
        <w:t xml:space="preserve"> (Liu, J. (2013). </w:t>
      </w:r>
      <w:r w:rsidR="00315F05">
        <w:rPr>
          <w:rFonts w:ascii="Times New Roman" w:eastAsiaTheme="minorHAnsi" w:hAnsi="Times New Roman" w:cs="Times New Roman"/>
          <w:sz w:val="24"/>
          <w:szCs w:val="24"/>
        </w:rPr>
        <w:t xml:space="preserve">It provides a low cost alternative to bank loans by providing an </w:t>
      </w:r>
      <w:r w:rsidR="00231E22">
        <w:rPr>
          <w:rFonts w:ascii="Times New Roman" w:eastAsiaTheme="minorHAnsi" w:hAnsi="Times New Roman" w:cs="Times New Roman"/>
          <w:sz w:val="24"/>
          <w:szCs w:val="24"/>
        </w:rPr>
        <w:t>unsecured short-term debt to finance</w:t>
      </w:r>
      <w:r w:rsidR="00315F05">
        <w:rPr>
          <w:rFonts w:ascii="Times New Roman" w:eastAsiaTheme="minorHAnsi" w:hAnsi="Times New Roman" w:cs="Times New Roman"/>
          <w:sz w:val="24"/>
          <w:szCs w:val="24"/>
        </w:rPr>
        <w:t xml:space="preserve"> accounts payable, </w:t>
      </w:r>
      <w:r w:rsidR="00231E22">
        <w:rPr>
          <w:rFonts w:ascii="Times New Roman" w:eastAsiaTheme="minorHAnsi" w:hAnsi="Times New Roman" w:cs="Times New Roman"/>
          <w:sz w:val="24"/>
          <w:szCs w:val="24"/>
        </w:rPr>
        <w:t xml:space="preserve">liabilities, </w:t>
      </w:r>
      <w:r w:rsidR="00315F05">
        <w:rPr>
          <w:rFonts w:ascii="Times New Roman" w:eastAsiaTheme="minorHAnsi" w:hAnsi="Times New Roman" w:cs="Times New Roman"/>
          <w:sz w:val="24"/>
          <w:szCs w:val="24"/>
        </w:rPr>
        <w:t xml:space="preserve">and inventories. </w:t>
      </w:r>
      <w:r w:rsidR="00231E22">
        <w:rPr>
          <w:rFonts w:ascii="Times New Roman" w:eastAsiaTheme="minorHAnsi" w:hAnsi="Times New Roman" w:cs="Times New Roman"/>
          <w:sz w:val="24"/>
          <w:szCs w:val="24"/>
        </w:rPr>
        <w:t>In</w:t>
      </w:r>
      <w:r w:rsidRPr="00D50850">
        <w:rPr>
          <w:rFonts w:ascii="Times New Roman" w:eastAsiaTheme="minorHAnsi" w:hAnsi="Times New Roman" w:cs="Times New Roman"/>
          <w:sz w:val="24"/>
          <w:szCs w:val="24"/>
        </w:rPr>
        <w:t xml:space="preserve"> 2009, </w:t>
      </w:r>
      <w:r w:rsidR="00141DCF">
        <w:rPr>
          <w:rFonts w:ascii="Times New Roman" w:eastAsiaTheme="minorHAnsi" w:hAnsi="Times New Roman" w:cs="Times New Roman"/>
          <w:sz w:val="24"/>
          <w:szCs w:val="24"/>
        </w:rPr>
        <w:t xml:space="preserve">Coca-Cola </w:t>
      </w:r>
      <w:r w:rsidR="00C3613D">
        <w:rPr>
          <w:rFonts w:ascii="Times New Roman" w:eastAsiaTheme="minorHAnsi" w:hAnsi="Times New Roman" w:cs="Times New Roman"/>
          <w:sz w:val="24"/>
          <w:szCs w:val="24"/>
        </w:rPr>
        <w:t xml:space="preserve">replaced a portion of its commercial paper and short term debt with longer-term debt, this impacted </w:t>
      </w:r>
      <w:r w:rsidRPr="00D50850">
        <w:rPr>
          <w:rFonts w:ascii="Times New Roman" w:eastAsiaTheme="minorHAnsi" w:hAnsi="Times New Roman" w:cs="Times New Roman"/>
          <w:sz w:val="24"/>
          <w:szCs w:val="24"/>
        </w:rPr>
        <w:t>the offering</w:t>
      </w:r>
      <w:r w:rsidR="00C3613D">
        <w:rPr>
          <w:rFonts w:ascii="Times New Roman" w:eastAsiaTheme="minorHAnsi" w:hAnsi="Times New Roman" w:cs="Times New Roman"/>
          <w:sz w:val="24"/>
          <w:szCs w:val="24"/>
        </w:rPr>
        <w:t>s</w:t>
      </w:r>
      <w:r w:rsidRPr="00D50850">
        <w:rPr>
          <w:rFonts w:ascii="Times New Roman" w:eastAsiaTheme="minorHAnsi" w:hAnsi="Times New Roman" w:cs="Times New Roman"/>
          <w:sz w:val="24"/>
          <w:szCs w:val="24"/>
        </w:rPr>
        <w:t xml:space="preserve"> of long-term notes</w:t>
      </w:r>
      <w:r w:rsidR="00315F05">
        <w:rPr>
          <w:rFonts w:ascii="Times New Roman" w:eastAsiaTheme="minorHAnsi" w:hAnsi="Times New Roman" w:cs="Times New Roman"/>
          <w:sz w:val="24"/>
          <w:szCs w:val="24"/>
        </w:rPr>
        <w:t xml:space="preserve"> significantly</w:t>
      </w:r>
      <w:r w:rsidRPr="00D50850">
        <w:rPr>
          <w:rFonts w:ascii="Times New Roman" w:eastAsiaTheme="minorHAnsi" w:hAnsi="Times New Roman" w:cs="Times New Roman"/>
          <w:sz w:val="24"/>
          <w:szCs w:val="24"/>
        </w:rPr>
        <w:t xml:space="preserve"> in the principal amounts of </w:t>
      </w:r>
      <w:r w:rsidRPr="00D50850">
        <w:rPr>
          <w:rFonts w:ascii="Times New Roman" w:eastAsiaTheme="minorHAnsi" w:hAnsi="Times New Roman" w:cs="Times New Roman"/>
          <w:sz w:val="24"/>
          <w:szCs w:val="24"/>
        </w:rPr>
        <w:lastRenderedPageBreak/>
        <w:t xml:space="preserve">almost $ 900 million at a rate of 3.6255 and </w:t>
      </w:r>
      <w:r w:rsidR="00993033">
        <w:rPr>
          <w:rFonts w:ascii="Times New Roman" w:eastAsiaTheme="minorHAnsi" w:hAnsi="Times New Roman" w:cs="Times New Roman"/>
          <w:sz w:val="24"/>
          <w:szCs w:val="24"/>
        </w:rPr>
        <w:t>$ 1,350 million at a rate of 4 .</w:t>
      </w:r>
      <w:r w:rsidRPr="00D50850">
        <w:rPr>
          <w:rFonts w:ascii="Times New Roman" w:eastAsiaTheme="minorHAnsi" w:hAnsi="Times New Roman" w:cs="Times New Roman"/>
          <w:sz w:val="24"/>
          <w:szCs w:val="24"/>
        </w:rPr>
        <w:t>875%.</w:t>
      </w:r>
      <w:r w:rsidR="00315F05">
        <w:rPr>
          <w:rFonts w:ascii="Times New Roman" w:eastAsiaTheme="minorHAnsi" w:hAnsi="Times New Roman" w:cs="Times New Roman"/>
          <w:sz w:val="24"/>
          <w:szCs w:val="24"/>
        </w:rPr>
        <w:t xml:space="preserve"> </w:t>
      </w:r>
      <w:r w:rsidR="00993033">
        <w:rPr>
          <w:rFonts w:ascii="Times New Roman" w:eastAsiaTheme="minorHAnsi" w:hAnsi="Times New Roman" w:cs="Times New Roman"/>
          <w:sz w:val="24"/>
          <w:szCs w:val="24"/>
        </w:rPr>
        <w:t xml:space="preserve">To ensure these rate remain substantial Coca-Cola continues to evaluate their capital structure by reviewing their </w:t>
      </w:r>
      <w:r w:rsidR="004F5E86">
        <w:rPr>
          <w:rFonts w:ascii="Times New Roman" w:eastAsiaTheme="minorHAnsi" w:hAnsi="Times New Roman" w:cs="Times New Roman"/>
          <w:sz w:val="24"/>
          <w:szCs w:val="24"/>
        </w:rPr>
        <w:t xml:space="preserve">optimal mix of debt to keep their </w:t>
      </w:r>
      <w:r w:rsidR="006715FA">
        <w:rPr>
          <w:rFonts w:ascii="Times New Roman" w:eastAsiaTheme="minorHAnsi" w:hAnsi="Times New Roman" w:cs="Times New Roman"/>
          <w:sz w:val="24"/>
          <w:szCs w:val="24"/>
        </w:rPr>
        <w:t xml:space="preserve">corporation growing. </w:t>
      </w:r>
    </w:p>
    <w:p w:rsidR="00D50850" w:rsidRPr="00D50850" w:rsidRDefault="004F5E86" w:rsidP="00D50850">
      <w:pPr>
        <w:spacing w:line="480" w:lineRule="auto"/>
        <w:rPr>
          <w:rFonts w:ascii="Times New Roman" w:eastAsiaTheme="minorHAnsi" w:hAnsi="Times New Roman" w:cs="Times New Roman"/>
          <w:b/>
          <w:sz w:val="24"/>
          <w:szCs w:val="24"/>
        </w:rPr>
      </w:pPr>
      <w:r>
        <w:rPr>
          <w:rFonts w:ascii="Times New Roman" w:eastAsiaTheme="minorHAnsi" w:hAnsi="Times New Roman" w:cs="Times New Roman"/>
          <w:sz w:val="24"/>
          <w:szCs w:val="24"/>
        </w:rPr>
        <w:t xml:space="preserve"> </w:t>
      </w:r>
      <w:r w:rsidR="00D50850" w:rsidRPr="00D50850">
        <w:rPr>
          <w:rFonts w:ascii="Times New Roman" w:eastAsiaTheme="minorHAnsi" w:hAnsi="Times New Roman" w:cs="Times New Roman"/>
          <w:b/>
          <w:sz w:val="24"/>
          <w:szCs w:val="24"/>
        </w:rPr>
        <w:t>Exchanging of their common stock with other companies like CCE</w:t>
      </w:r>
    </w:p>
    <w:p w:rsidR="00D50850" w:rsidRPr="00D50850" w:rsidRDefault="00D50850" w:rsidP="00D50850">
      <w:pPr>
        <w:spacing w:line="480" w:lineRule="auto"/>
        <w:rPr>
          <w:rFonts w:ascii="Times New Roman" w:eastAsiaTheme="minorHAnsi" w:hAnsi="Times New Roman" w:cs="Times New Roman"/>
          <w:sz w:val="24"/>
          <w:szCs w:val="24"/>
        </w:rPr>
      </w:pPr>
      <w:r w:rsidRPr="00D50850">
        <w:rPr>
          <w:rFonts w:ascii="Times New Roman" w:eastAsiaTheme="minorHAnsi" w:hAnsi="Times New Roman" w:cs="Times New Roman"/>
          <w:sz w:val="24"/>
          <w:szCs w:val="24"/>
        </w:rPr>
        <w:t>Coca-Cola Company</w:t>
      </w:r>
      <w:r w:rsidR="006715FA">
        <w:rPr>
          <w:rFonts w:ascii="Times New Roman" w:eastAsiaTheme="minorHAnsi" w:hAnsi="Times New Roman" w:cs="Times New Roman"/>
          <w:sz w:val="24"/>
          <w:szCs w:val="24"/>
        </w:rPr>
        <w:t xml:space="preserve"> </w:t>
      </w:r>
      <w:r w:rsidR="00B018E7">
        <w:rPr>
          <w:rFonts w:ascii="Times New Roman" w:eastAsiaTheme="minorHAnsi" w:hAnsi="Times New Roman" w:cs="Times New Roman"/>
          <w:sz w:val="24"/>
          <w:szCs w:val="24"/>
        </w:rPr>
        <w:t>enter</w:t>
      </w:r>
      <w:r w:rsidR="006715FA">
        <w:rPr>
          <w:rFonts w:ascii="Times New Roman" w:eastAsiaTheme="minorHAnsi" w:hAnsi="Times New Roman" w:cs="Times New Roman"/>
          <w:sz w:val="24"/>
          <w:szCs w:val="24"/>
        </w:rPr>
        <w:t>ed</w:t>
      </w:r>
      <w:r w:rsidR="00B018E7">
        <w:rPr>
          <w:rFonts w:ascii="Times New Roman" w:eastAsiaTheme="minorHAnsi" w:hAnsi="Times New Roman" w:cs="Times New Roman"/>
          <w:sz w:val="24"/>
          <w:szCs w:val="24"/>
        </w:rPr>
        <w:t xml:space="preserve"> into a definite agreement with </w:t>
      </w:r>
      <w:r w:rsidR="006715FA">
        <w:rPr>
          <w:rFonts w:ascii="Times New Roman" w:eastAsiaTheme="minorHAnsi" w:hAnsi="Times New Roman" w:cs="Times New Roman"/>
          <w:sz w:val="24"/>
          <w:szCs w:val="24"/>
        </w:rPr>
        <w:t>CCE in 2010, to acquire all liabilities and assets of the C</w:t>
      </w:r>
      <w:r w:rsidR="00B018E7">
        <w:rPr>
          <w:rFonts w:ascii="Times New Roman" w:eastAsiaTheme="minorHAnsi" w:hAnsi="Times New Roman" w:cs="Times New Roman"/>
          <w:sz w:val="24"/>
          <w:szCs w:val="24"/>
        </w:rPr>
        <w:t>CEs North America operations. This merger would account for 34% of the company’s current ownership interest involving CCE</w:t>
      </w:r>
      <w:r w:rsidR="006715FA">
        <w:rPr>
          <w:rFonts w:ascii="Times New Roman" w:eastAsiaTheme="minorHAnsi" w:hAnsi="Times New Roman" w:cs="Times New Roman"/>
          <w:sz w:val="24"/>
          <w:szCs w:val="24"/>
        </w:rPr>
        <w:t xml:space="preserve"> </w:t>
      </w:r>
      <w:r w:rsidR="00A200F1">
        <w:rPr>
          <w:rFonts w:ascii="Times New Roman" w:eastAsiaTheme="minorHAnsi" w:hAnsi="Times New Roman" w:cs="Times New Roman"/>
          <w:sz w:val="24"/>
          <w:szCs w:val="24"/>
        </w:rPr>
        <w:t>valued at 3.4 billion dollar</w:t>
      </w:r>
      <w:r w:rsidR="006715FA">
        <w:rPr>
          <w:rFonts w:ascii="Times New Roman" w:eastAsiaTheme="minorHAnsi" w:hAnsi="Times New Roman" w:cs="Times New Roman"/>
          <w:sz w:val="24"/>
          <w:szCs w:val="24"/>
        </w:rPr>
        <w:t xml:space="preserve">s.  The current CCE shareowners </w:t>
      </w:r>
      <w:r w:rsidR="00341B98">
        <w:rPr>
          <w:rFonts w:ascii="Times New Roman" w:eastAsiaTheme="minorHAnsi" w:hAnsi="Times New Roman" w:cs="Times New Roman"/>
          <w:sz w:val="24"/>
          <w:szCs w:val="24"/>
        </w:rPr>
        <w:t xml:space="preserve">were directed to trade their existing common stock for new stock within this </w:t>
      </w:r>
      <w:r w:rsidR="003214AD">
        <w:rPr>
          <w:rFonts w:ascii="Times New Roman" w:eastAsiaTheme="minorHAnsi" w:hAnsi="Times New Roman" w:cs="Times New Roman"/>
          <w:sz w:val="24"/>
          <w:szCs w:val="24"/>
        </w:rPr>
        <w:t>entity. This</w:t>
      </w:r>
      <w:r w:rsidR="006715FA">
        <w:rPr>
          <w:rFonts w:ascii="Times New Roman" w:eastAsiaTheme="minorHAnsi" w:hAnsi="Times New Roman" w:cs="Times New Roman"/>
          <w:sz w:val="24"/>
          <w:szCs w:val="24"/>
        </w:rPr>
        <w:t xml:space="preserve"> stock exchange significantly benefited </w:t>
      </w:r>
      <w:r w:rsidR="00A200F1">
        <w:rPr>
          <w:rFonts w:ascii="Times New Roman" w:eastAsiaTheme="minorHAnsi" w:hAnsi="Times New Roman" w:cs="Times New Roman"/>
          <w:sz w:val="24"/>
          <w:szCs w:val="24"/>
        </w:rPr>
        <w:t>Coca-Cola by becoming the largest merging bottle</w:t>
      </w:r>
      <w:r w:rsidR="00993033">
        <w:rPr>
          <w:rFonts w:ascii="Times New Roman" w:eastAsiaTheme="minorHAnsi" w:hAnsi="Times New Roman" w:cs="Times New Roman"/>
          <w:sz w:val="24"/>
          <w:szCs w:val="24"/>
        </w:rPr>
        <w:t xml:space="preserve"> operations in a</w:t>
      </w:r>
      <w:r w:rsidR="00A200F1">
        <w:rPr>
          <w:rFonts w:ascii="Times New Roman" w:eastAsiaTheme="minorHAnsi" w:hAnsi="Times New Roman" w:cs="Times New Roman"/>
          <w:sz w:val="24"/>
          <w:szCs w:val="24"/>
        </w:rPr>
        <w:t xml:space="preserve"> national market.  </w:t>
      </w:r>
    </w:p>
    <w:p w:rsidR="00D50850" w:rsidRPr="00D50850" w:rsidRDefault="00D50850" w:rsidP="00D50850">
      <w:pPr>
        <w:spacing w:line="480" w:lineRule="auto"/>
        <w:rPr>
          <w:rFonts w:ascii="Times New Roman" w:eastAsiaTheme="minorHAnsi" w:hAnsi="Times New Roman" w:cs="Times New Roman"/>
          <w:b/>
          <w:sz w:val="24"/>
          <w:szCs w:val="24"/>
        </w:rPr>
      </w:pPr>
      <w:r w:rsidRPr="00D50850">
        <w:rPr>
          <w:rFonts w:ascii="Times New Roman" w:eastAsiaTheme="minorHAnsi" w:hAnsi="Times New Roman" w:cs="Times New Roman"/>
          <w:b/>
          <w:sz w:val="24"/>
          <w:szCs w:val="24"/>
        </w:rPr>
        <w:t>Analysis of access to Target Sources of External Financing</w:t>
      </w:r>
    </w:p>
    <w:p w:rsidR="00D50850" w:rsidRPr="00D50850" w:rsidRDefault="00782C9F" w:rsidP="00D50850">
      <w:pPr>
        <w:spacing w:line="48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The Coca-Cola stores a majority of its money</w:t>
      </w:r>
      <w:r w:rsidR="006715FA">
        <w:rPr>
          <w:rFonts w:ascii="Times New Roman" w:eastAsiaTheme="minorHAnsi" w:hAnsi="Times New Roman" w:cs="Times New Roman"/>
          <w:sz w:val="24"/>
          <w:szCs w:val="24"/>
        </w:rPr>
        <w:t xml:space="preserve"> in </w:t>
      </w:r>
      <w:r>
        <w:rPr>
          <w:rFonts w:ascii="Times New Roman" w:eastAsiaTheme="minorHAnsi" w:hAnsi="Times New Roman" w:cs="Times New Roman"/>
          <w:sz w:val="24"/>
          <w:szCs w:val="24"/>
        </w:rPr>
        <w:t xml:space="preserve">global subsidiaries </w:t>
      </w:r>
      <w:r w:rsidR="00D50850" w:rsidRPr="00D50850">
        <w:rPr>
          <w:rFonts w:ascii="Times New Roman" w:eastAsiaTheme="minorHAnsi" w:hAnsi="Times New Roman" w:cs="Times New Roman"/>
          <w:sz w:val="24"/>
          <w:szCs w:val="24"/>
        </w:rPr>
        <w:t>which are among their main so</w:t>
      </w:r>
      <w:r w:rsidR="00D50850">
        <w:rPr>
          <w:rFonts w:ascii="Times New Roman" w:eastAsiaTheme="minorHAnsi" w:hAnsi="Times New Roman" w:cs="Times New Roman"/>
          <w:sz w:val="24"/>
          <w:szCs w:val="24"/>
        </w:rPr>
        <w:t>urces of external financing. This</w:t>
      </w:r>
      <w:r w:rsidR="00D50850" w:rsidRPr="00D50850">
        <w:rPr>
          <w:rFonts w:ascii="Times New Roman" w:eastAsiaTheme="minorHAnsi" w:hAnsi="Times New Roman" w:cs="Times New Roman"/>
          <w:sz w:val="24"/>
          <w:szCs w:val="24"/>
        </w:rPr>
        <w:t xml:space="preserve"> company has their own contingency plans that will enable them to access the kind of cash that is held by their international subsid</w:t>
      </w:r>
      <w:r w:rsidR="00116119">
        <w:rPr>
          <w:rFonts w:ascii="Times New Roman" w:eastAsiaTheme="minorHAnsi" w:hAnsi="Times New Roman" w:cs="Times New Roman"/>
          <w:sz w:val="24"/>
          <w:szCs w:val="24"/>
        </w:rPr>
        <w:t xml:space="preserve">iaries on a short notice. Based on the </w:t>
      </w:r>
      <w:r w:rsidR="00D50850" w:rsidRPr="00D50850">
        <w:rPr>
          <w:rFonts w:ascii="Times New Roman" w:eastAsiaTheme="minorHAnsi" w:hAnsi="Times New Roman" w:cs="Times New Roman"/>
          <w:sz w:val="24"/>
          <w:szCs w:val="24"/>
        </w:rPr>
        <w:t>various reports concerning the Company’s financial analysis, approximately</w:t>
      </w:r>
      <w:r w:rsidR="00D161A7">
        <w:rPr>
          <w:rFonts w:ascii="Times New Roman" w:eastAsiaTheme="minorHAnsi" w:hAnsi="Times New Roman" w:cs="Times New Roman"/>
          <w:sz w:val="24"/>
          <w:szCs w:val="24"/>
        </w:rPr>
        <w:t xml:space="preserve"> $ 4.7 billion</w:t>
      </w:r>
      <w:r w:rsidR="00F06985">
        <w:rPr>
          <w:rFonts w:ascii="Times New Roman" w:eastAsiaTheme="minorHAnsi" w:hAnsi="Times New Roman" w:cs="Times New Roman"/>
          <w:sz w:val="24"/>
          <w:szCs w:val="24"/>
        </w:rPr>
        <w:t xml:space="preserve"> cash balances are available in liquid accounts and high cash investment accounts</w:t>
      </w:r>
      <w:r w:rsidR="00D50850" w:rsidRPr="00D50850">
        <w:rPr>
          <w:rFonts w:ascii="Times New Roman" w:eastAsiaTheme="minorHAnsi" w:hAnsi="Times New Roman" w:cs="Times New Roman"/>
          <w:sz w:val="24"/>
          <w:szCs w:val="24"/>
        </w:rPr>
        <w:t>, as their target sources for external financing.</w:t>
      </w:r>
      <w:r w:rsidR="007572A4">
        <w:rPr>
          <w:rFonts w:ascii="Times New Roman" w:eastAsiaTheme="minorHAnsi" w:hAnsi="Times New Roman" w:cs="Times New Roman"/>
          <w:sz w:val="24"/>
          <w:szCs w:val="24"/>
        </w:rPr>
        <w:t xml:space="preserve">  </w:t>
      </w:r>
    </w:p>
    <w:p w:rsidR="00341B98" w:rsidRDefault="00D50850" w:rsidP="007572A4">
      <w:pPr>
        <w:spacing w:line="480" w:lineRule="auto"/>
        <w:rPr>
          <w:rFonts w:ascii="Times New Roman" w:eastAsiaTheme="minorHAnsi" w:hAnsi="Times New Roman" w:cs="Times New Roman"/>
          <w:sz w:val="24"/>
          <w:szCs w:val="24"/>
        </w:rPr>
      </w:pPr>
      <w:r w:rsidRPr="00D50850">
        <w:rPr>
          <w:rFonts w:ascii="Times New Roman" w:eastAsiaTheme="minorHAnsi" w:hAnsi="Times New Roman" w:cs="Times New Roman"/>
          <w:sz w:val="24"/>
          <w:szCs w:val="24"/>
        </w:rPr>
        <w:t xml:space="preserve">In reference to the consolidation financial </w:t>
      </w:r>
      <w:r w:rsidR="003214AD">
        <w:rPr>
          <w:rFonts w:ascii="Times New Roman" w:eastAsiaTheme="minorHAnsi" w:hAnsi="Times New Roman" w:cs="Times New Roman"/>
          <w:sz w:val="24"/>
          <w:szCs w:val="24"/>
        </w:rPr>
        <w:t>statements</w:t>
      </w:r>
      <w:r w:rsidR="00E124BE">
        <w:rPr>
          <w:rFonts w:ascii="Times New Roman" w:eastAsiaTheme="minorHAnsi" w:hAnsi="Times New Roman" w:cs="Times New Roman"/>
          <w:sz w:val="24"/>
          <w:szCs w:val="24"/>
        </w:rPr>
        <w:t xml:space="preserve"> regarding the </w:t>
      </w:r>
      <w:r w:rsidR="007572A4">
        <w:rPr>
          <w:rFonts w:ascii="Times New Roman" w:eastAsiaTheme="minorHAnsi" w:hAnsi="Times New Roman" w:cs="Times New Roman"/>
          <w:sz w:val="24"/>
          <w:szCs w:val="24"/>
        </w:rPr>
        <w:t>Coca-Cola Company there has been a steady increase in assets, liabilities</w:t>
      </w:r>
      <w:r w:rsidR="00E124BE">
        <w:rPr>
          <w:rFonts w:ascii="Times New Roman" w:eastAsiaTheme="minorHAnsi" w:hAnsi="Times New Roman" w:cs="Times New Roman"/>
          <w:sz w:val="24"/>
          <w:szCs w:val="24"/>
        </w:rPr>
        <w:t>, and owner’s equity over the years. T</w:t>
      </w:r>
      <w:r w:rsidR="007572A4">
        <w:rPr>
          <w:rFonts w:ascii="Times New Roman" w:eastAsiaTheme="minorHAnsi" w:hAnsi="Times New Roman" w:cs="Times New Roman"/>
          <w:sz w:val="24"/>
          <w:szCs w:val="24"/>
        </w:rPr>
        <w:t>he company has not had to rely on credit facilities or backup lines of credit</w:t>
      </w:r>
      <w:r w:rsidRPr="00D50850">
        <w:rPr>
          <w:rFonts w:ascii="Times New Roman" w:eastAsiaTheme="minorHAnsi" w:hAnsi="Times New Roman" w:cs="Times New Roman"/>
          <w:sz w:val="24"/>
          <w:szCs w:val="24"/>
        </w:rPr>
        <w:t xml:space="preserve"> (Wardlaw, B. (20</w:t>
      </w:r>
      <w:r w:rsidR="007572A4">
        <w:rPr>
          <w:rFonts w:ascii="Times New Roman" w:eastAsiaTheme="minorHAnsi" w:hAnsi="Times New Roman" w:cs="Times New Roman"/>
          <w:sz w:val="24"/>
          <w:szCs w:val="24"/>
        </w:rPr>
        <w:t>09).</w:t>
      </w:r>
      <w:r w:rsidR="00116119">
        <w:rPr>
          <w:rFonts w:ascii="Times New Roman" w:eastAsiaTheme="minorHAnsi" w:hAnsi="Times New Roman" w:cs="Times New Roman"/>
          <w:sz w:val="24"/>
          <w:szCs w:val="24"/>
        </w:rPr>
        <w:t xml:space="preserve"> The company continues to monitor its financial stability. This company appears to have a strong </w:t>
      </w:r>
      <w:r w:rsidR="00116119">
        <w:rPr>
          <w:rFonts w:ascii="Times New Roman" w:eastAsiaTheme="minorHAnsi" w:hAnsi="Times New Roman" w:cs="Times New Roman"/>
          <w:sz w:val="24"/>
          <w:szCs w:val="24"/>
        </w:rPr>
        <w:lastRenderedPageBreak/>
        <w:t>financial</w:t>
      </w:r>
      <w:r w:rsidR="00C3613D">
        <w:rPr>
          <w:rFonts w:ascii="Times New Roman" w:eastAsiaTheme="minorHAnsi" w:hAnsi="Times New Roman" w:cs="Times New Roman"/>
          <w:sz w:val="24"/>
          <w:szCs w:val="24"/>
        </w:rPr>
        <w:t xml:space="preserve"> standing and </w:t>
      </w:r>
      <w:r w:rsidR="00116119">
        <w:rPr>
          <w:rFonts w:ascii="Times New Roman" w:eastAsiaTheme="minorHAnsi" w:hAnsi="Times New Roman" w:cs="Times New Roman"/>
          <w:sz w:val="24"/>
          <w:szCs w:val="24"/>
        </w:rPr>
        <w:t>cash flow. If thi</w:t>
      </w:r>
      <w:r w:rsidR="00A97105">
        <w:rPr>
          <w:rFonts w:ascii="Times New Roman" w:eastAsiaTheme="minorHAnsi" w:hAnsi="Times New Roman" w:cs="Times New Roman"/>
          <w:sz w:val="24"/>
          <w:szCs w:val="24"/>
        </w:rPr>
        <w:t xml:space="preserve">s </w:t>
      </w:r>
      <w:r w:rsidR="00116119">
        <w:rPr>
          <w:rFonts w:ascii="Times New Roman" w:eastAsiaTheme="minorHAnsi" w:hAnsi="Times New Roman" w:cs="Times New Roman"/>
          <w:sz w:val="24"/>
          <w:szCs w:val="24"/>
        </w:rPr>
        <w:t>company is ever in a position</w:t>
      </w:r>
      <w:r w:rsidR="00C3613D">
        <w:rPr>
          <w:rFonts w:ascii="Times New Roman" w:eastAsiaTheme="minorHAnsi" w:hAnsi="Times New Roman" w:cs="Times New Roman"/>
          <w:sz w:val="24"/>
          <w:szCs w:val="24"/>
        </w:rPr>
        <w:t xml:space="preserve"> of not</w:t>
      </w:r>
      <w:r w:rsidR="00116119">
        <w:rPr>
          <w:rFonts w:ascii="Times New Roman" w:eastAsiaTheme="minorHAnsi" w:hAnsi="Times New Roman" w:cs="Times New Roman"/>
          <w:sz w:val="24"/>
          <w:szCs w:val="24"/>
        </w:rPr>
        <w:t xml:space="preserve"> being able to meet </w:t>
      </w:r>
      <w:r w:rsidR="00C3613D">
        <w:rPr>
          <w:rFonts w:ascii="Times New Roman" w:eastAsiaTheme="minorHAnsi" w:hAnsi="Times New Roman" w:cs="Times New Roman"/>
          <w:sz w:val="24"/>
          <w:szCs w:val="24"/>
        </w:rPr>
        <w:t xml:space="preserve">their financial obligations they have the ability to seek funding through their </w:t>
      </w:r>
      <w:r w:rsidR="00116119">
        <w:rPr>
          <w:rFonts w:ascii="Times New Roman" w:eastAsiaTheme="minorHAnsi" w:hAnsi="Times New Roman" w:cs="Times New Roman"/>
          <w:sz w:val="24"/>
          <w:szCs w:val="24"/>
        </w:rPr>
        <w:t xml:space="preserve">bank partnerships. </w:t>
      </w:r>
      <w:r w:rsidR="007572A4">
        <w:rPr>
          <w:rFonts w:ascii="Times New Roman" w:eastAsiaTheme="minorHAnsi" w:hAnsi="Times New Roman" w:cs="Times New Roman"/>
          <w:sz w:val="24"/>
          <w:szCs w:val="24"/>
        </w:rPr>
        <w:t xml:space="preserve"> </w:t>
      </w:r>
    </w:p>
    <w:p w:rsidR="00D50850" w:rsidRPr="00D50850" w:rsidRDefault="00116119" w:rsidP="00D50850">
      <w:pPr>
        <w:spacing w:line="48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Coco-C</w:t>
      </w:r>
      <w:r w:rsidR="0074734E">
        <w:rPr>
          <w:rFonts w:ascii="Times New Roman" w:eastAsiaTheme="minorHAnsi" w:hAnsi="Times New Roman" w:cs="Times New Roman"/>
          <w:sz w:val="24"/>
          <w:szCs w:val="24"/>
        </w:rPr>
        <w:t>ola did came</w:t>
      </w:r>
      <w:r>
        <w:rPr>
          <w:rFonts w:ascii="Times New Roman" w:eastAsiaTheme="minorHAnsi" w:hAnsi="Times New Roman" w:cs="Times New Roman"/>
          <w:sz w:val="24"/>
          <w:szCs w:val="24"/>
        </w:rPr>
        <w:t xml:space="preserve"> under fire</w:t>
      </w:r>
      <w:r w:rsidR="00A97105">
        <w:rPr>
          <w:rFonts w:ascii="Times New Roman" w:eastAsiaTheme="minorHAnsi" w:hAnsi="Times New Roman" w:cs="Times New Roman"/>
          <w:sz w:val="24"/>
          <w:szCs w:val="24"/>
        </w:rPr>
        <w:t xml:space="preserve"> for its bottling </w:t>
      </w:r>
      <w:r w:rsidR="006B50D1">
        <w:rPr>
          <w:rFonts w:ascii="Times New Roman" w:eastAsiaTheme="minorHAnsi" w:hAnsi="Times New Roman" w:cs="Times New Roman"/>
          <w:sz w:val="24"/>
          <w:szCs w:val="24"/>
        </w:rPr>
        <w:t>operations in the late 1970s</w:t>
      </w:r>
      <w:r w:rsidR="0074734E">
        <w:rPr>
          <w:rFonts w:ascii="Times New Roman" w:eastAsiaTheme="minorHAnsi" w:hAnsi="Times New Roman" w:cs="Times New Roman"/>
          <w:sz w:val="24"/>
          <w:szCs w:val="24"/>
        </w:rPr>
        <w:t xml:space="preserve">. </w:t>
      </w:r>
      <w:r w:rsidR="00A97105">
        <w:rPr>
          <w:rFonts w:ascii="Times New Roman" w:eastAsiaTheme="minorHAnsi" w:hAnsi="Times New Roman" w:cs="Times New Roman"/>
          <w:sz w:val="24"/>
          <w:szCs w:val="24"/>
        </w:rPr>
        <w:t>Many d</w:t>
      </w:r>
      <w:r w:rsidR="00341B98">
        <w:rPr>
          <w:rFonts w:ascii="Times New Roman" w:eastAsiaTheme="minorHAnsi" w:hAnsi="Times New Roman" w:cs="Times New Roman"/>
          <w:sz w:val="24"/>
          <w:szCs w:val="24"/>
        </w:rPr>
        <w:t xml:space="preserve">eveloping countries face </w:t>
      </w:r>
      <w:r w:rsidR="00D50850" w:rsidRPr="00D50850">
        <w:rPr>
          <w:rFonts w:ascii="Times New Roman" w:eastAsiaTheme="minorHAnsi" w:hAnsi="Times New Roman" w:cs="Times New Roman"/>
          <w:sz w:val="24"/>
          <w:szCs w:val="24"/>
        </w:rPr>
        <w:t>he</w:t>
      </w:r>
      <w:r w:rsidR="00C2694D">
        <w:rPr>
          <w:rFonts w:ascii="Times New Roman" w:eastAsiaTheme="minorHAnsi" w:hAnsi="Times New Roman" w:cs="Times New Roman"/>
          <w:sz w:val="24"/>
          <w:szCs w:val="24"/>
        </w:rPr>
        <w:t>fty clean water shortage</w:t>
      </w:r>
      <w:r w:rsidR="006B50D1">
        <w:rPr>
          <w:rFonts w:ascii="Times New Roman" w:eastAsiaTheme="minorHAnsi" w:hAnsi="Times New Roman" w:cs="Times New Roman"/>
          <w:sz w:val="24"/>
          <w:szCs w:val="24"/>
        </w:rPr>
        <w:t xml:space="preserve"> such as India</w:t>
      </w:r>
      <w:r w:rsidR="00A97105">
        <w:rPr>
          <w:rFonts w:ascii="Times New Roman" w:eastAsiaTheme="minorHAnsi" w:hAnsi="Times New Roman" w:cs="Times New Roman"/>
          <w:sz w:val="24"/>
          <w:szCs w:val="24"/>
        </w:rPr>
        <w:t>. The companies bottling plant</w:t>
      </w:r>
      <w:r w:rsidR="006B50D1">
        <w:rPr>
          <w:rFonts w:ascii="Times New Roman" w:eastAsiaTheme="minorHAnsi" w:hAnsi="Times New Roman" w:cs="Times New Roman"/>
          <w:sz w:val="24"/>
          <w:szCs w:val="24"/>
        </w:rPr>
        <w:t xml:space="preserve"> in this country </w:t>
      </w:r>
      <w:r w:rsidR="00A97105">
        <w:rPr>
          <w:rFonts w:ascii="Times New Roman" w:eastAsiaTheme="minorHAnsi" w:hAnsi="Times New Roman" w:cs="Times New Roman"/>
          <w:sz w:val="24"/>
          <w:szCs w:val="24"/>
        </w:rPr>
        <w:t xml:space="preserve">caused an adverse environmental impact. </w:t>
      </w:r>
      <w:r w:rsidR="006B50D1">
        <w:rPr>
          <w:rFonts w:ascii="Times New Roman" w:eastAsiaTheme="minorHAnsi" w:hAnsi="Times New Roman" w:cs="Times New Roman"/>
          <w:sz w:val="24"/>
          <w:szCs w:val="24"/>
        </w:rPr>
        <w:t>This caused India’s Parliament to halt bottling operations and the sale of this product.</w:t>
      </w:r>
      <w:r w:rsidR="0074734E">
        <w:rPr>
          <w:rFonts w:ascii="Times New Roman" w:eastAsiaTheme="minorHAnsi" w:hAnsi="Times New Roman" w:cs="Times New Roman"/>
          <w:sz w:val="24"/>
          <w:szCs w:val="24"/>
        </w:rPr>
        <w:t xml:space="preserve"> This caused a major setback in meeting the demand</w:t>
      </w:r>
      <w:r w:rsidR="00C3613D">
        <w:rPr>
          <w:rFonts w:ascii="Times New Roman" w:eastAsiaTheme="minorHAnsi" w:hAnsi="Times New Roman" w:cs="Times New Roman"/>
          <w:sz w:val="24"/>
          <w:szCs w:val="24"/>
        </w:rPr>
        <w:t>s</w:t>
      </w:r>
      <w:r w:rsidR="0074734E">
        <w:rPr>
          <w:rFonts w:ascii="Times New Roman" w:eastAsiaTheme="minorHAnsi" w:hAnsi="Times New Roman" w:cs="Times New Roman"/>
          <w:sz w:val="24"/>
          <w:szCs w:val="24"/>
        </w:rPr>
        <w:t xml:space="preserve"> of their consumers. </w:t>
      </w:r>
      <w:r w:rsidR="006B50D1">
        <w:rPr>
          <w:rFonts w:ascii="Times New Roman" w:eastAsiaTheme="minorHAnsi" w:hAnsi="Times New Roman" w:cs="Times New Roman"/>
          <w:sz w:val="24"/>
          <w:szCs w:val="24"/>
        </w:rPr>
        <w:t xml:space="preserve"> </w:t>
      </w:r>
      <w:r w:rsidR="0074734E">
        <w:rPr>
          <w:rFonts w:ascii="Times New Roman" w:eastAsiaTheme="minorHAnsi" w:hAnsi="Times New Roman" w:cs="Times New Roman"/>
          <w:sz w:val="24"/>
          <w:szCs w:val="24"/>
        </w:rPr>
        <w:t xml:space="preserve">In the </w:t>
      </w:r>
      <w:r w:rsidR="006B50D1">
        <w:rPr>
          <w:rFonts w:ascii="Times New Roman" w:eastAsiaTheme="minorHAnsi" w:hAnsi="Times New Roman" w:cs="Times New Roman"/>
          <w:sz w:val="24"/>
          <w:szCs w:val="24"/>
        </w:rPr>
        <w:t xml:space="preserve">1990’s, the company </w:t>
      </w:r>
      <w:r w:rsidR="0074734E">
        <w:rPr>
          <w:rFonts w:ascii="Times New Roman" w:eastAsiaTheme="minorHAnsi" w:hAnsi="Times New Roman" w:cs="Times New Roman"/>
          <w:sz w:val="24"/>
          <w:szCs w:val="24"/>
        </w:rPr>
        <w:t xml:space="preserve">was able to </w:t>
      </w:r>
      <w:r w:rsidR="00C3613D">
        <w:rPr>
          <w:rFonts w:ascii="Times New Roman" w:eastAsiaTheme="minorHAnsi" w:hAnsi="Times New Roman" w:cs="Times New Roman"/>
          <w:sz w:val="24"/>
          <w:szCs w:val="24"/>
        </w:rPr>
        <w:t xml:space="preserve">gain entrance back into this market space to package, </w:t>
      </w:r>
      <w:r w:rsidR="0074734E">
        <w:rPr>
          <w:rFonts w:ascii="Times New Roman" w:eastAsiaTheme="minorHAnsi" w:hAnsi="Times New Roman" w:cs="Times New Roman"/>
          <w:sz w:val="24"/>
          <w:szCs w:val="24"/>
        </w:rPr>
        <w:t>sell and distribute their</w:t>
      </w:r>
      <w:r w:rsidR="00C3613D">
        <w:rPr>
          <w:rFonts w:ascii="Times New Roman" w:eastAsiaTheme="minorHAnsi" w:hAnsi="Times New Roman" w:cs="Times New Roman"/>
          <w:sz w:val="24"/>
          <w:szCs w:val="24"/>
        </w:rPr>
        <w:t xml:space="preserve"> </w:t>
      </w:r>
      <w:r w:rsidR="0074734E">
        <w:rPr>
          <w:rFonts w:ascii="Times New Roman" w:eastAsiaTheme="minorHAnsi" w:hAnsi="Times New Roman" w:cs="Times New Roman"/>
          <w:sz w:val="24"/>
          <w:szCs w:val="24"/>
        </w:rPr>
        <w:t xml:space="preserve">beverage. Due to this country’s population and geography it allowed them to gain more attention and market share to achieve long term financial stability. </w:t>
      </w:r>
      <w:r w:rsidR="00341B98">
        <w:rPr>
          <w:rFonts w:ascii="Times New Roman" w:eastAsiaTheme="minorHAnsi" w:hAnsi="Times New Roman" w:cs="Times New Roman"/>
          <w:sz w:val="24"/>
          <w:szCs w:val="24"/>
        </w:rPr>
        <w:t xml:space="preserve"> </w:t>
      </w:r>
    </w:p>
    <w:p w:rsidR="00D50850" w:rsidRDefault="00D50850" w:rsidP="000067AE">
      <w:pPr>
        <w:spacing w:line="480" w:lineRule="auto"/>
        <w:rPr>
          <w:rFonts w:ascii="Times New Roman" w:eastAsiaTheme="minorHAnsi" w:hAnsi="Times New Roman" w:cs="Times New Roman"/>
          <w:b/>
          <w:sz w:val="24"/>
          <w:szCs w:val="24"/>
        </w:rPr>
      </w:pPr>
    </w:p>
    <w:p w:rsidR="00D50850" w:rsidRDefault="00D50850" w:rsidP="000067AE">
      <w:pPr>
        <w:spacing w:line="480" w:lineRule="auto"/>
        <w:rPr>
          <w:rFonts w:ascii="Times New Roman" w:eastAsiaTheme="minorHAnsi" w:hAnsi="Times New Roman" w:cs="Times New Roman"/>
          <w:b/>
          <w:sz w:val="24"/>
          <w:szCs w:val="24"/>
        </w:rPr>
      </w:pPr>
    </w:p>
    <w:p w:rsidR="009467BA" w:rsidRDefault="009467BA" w:rsidP="00DA2C1B">
      <w:pPr>
        <w:spacing w:line="480" w:lineRule="auto"/>
        <w:jc w:val="both"/>
        <w:rPr>
          <w:rFonts w:ascii="Times New Roman" w:hAnsi="Times New Roman" w:cs="Times New Roman"/>
          <w:sz w:val="24"/>
          <w:szCs w:val="24"/>
        </w:rPr>
      </w:pPr>
    </w:p>
    <w:p w:rsidR="00DA2C1B" w:rsidRDefault="00DA2C1B" w:rsidP="009C289E">
      <w:pPr>
        <w:spacing w:after="0" w:line="480" w:lineRule="auto"/>
        <w:jc w:val="center"/>
        <w:rPr>
          <w:rFonts w:ascii="Times New Roman" w:hAnsi="Times New Roman" w:cs="Times New Roman"/>
          <w:sz w:val="24"/>
          <w:szCs w:val="24"/>
        </w:rPr>
      </w:pPr>
    </w:p>
    <w:p w:rsidR="00D50850" w:rsidRDefault="00D50850" w:rsidP="009C289E">
      <w:pPr>
        <w:spacing w:after="0" w:line="480" w:lineRule="auto"/>
        <w:jc w:val="center"/>
        <w:rPr>
          <w:rFonts w:ascii="Times New Roman" w:hAnsi="Times New Roman" w:cs="Times New Roman"/>
          <w:sz w:val="24"/>
          <w:szCs w:val="24"/>
        </w:rPr>
      </w:pPr>
    </w:p>
    <w:p w:rsidR="00D50850" w:rsidRDefault="00D50850" w:rsidP="009C289E">
      <w:pPr>
        <w:spacing w:after="0" w:line="480" w:lineRule="auto"/>
        <w:jc w:val="center"/>
        <w:rPr>
          <w:rFonts w:ascii="Times New Roman" w:hAnsi="Times New Roman" w:cs="Times New Roman"/>
          <w:sz w:val="24"/>
          <w:szCs w:val="24"/>
        </w:rPr>
      </w:pPr>
    </w:p>
    <w:p w:rsidR="00D50850" w:rsidRDefault="00D50850" w:rsidP="009C289E">
      <w:pPr>
        <w:spacing w:after="0" w:line="480" w:lineRule="auto"/>
        <w:jc w:val="center"/>
        <w:rPr>
          <w:rFonts w:ascii="Times New Roman" w:hAnsi="Times New Roman" w:cs="Times New Roman"/>
          <w:sz w:val="24"/>
          <w:szCs w:val="24"/>
        </w:rPr>
      </w:pPr>
    </w:p>
    <w:p w:rsidR="00D50850" w:rsidRDefault="00D50850" w:rsidP="009C289E">
      <w:pPr>
        <w:spacing w:after="0" w:line="480" w:lineRule="auto"/>
        <w:jc w:val="center"/>
        <w:rPr>
          <w:rFonts w:ascii="Times New Roman" w:hAnsi="Times New Roman" w:cs="Times New Roman"/>
          <w:sz w:val="24"/>
          <w:szCs w:val="24"/>
        </w:rPr>
      </w:pPr>
    </w:p>
    <w:p w:rsidR="00D50850" w:rsidRDefault="00D50850" w:rsidP="009C289E">
      <w:pPr>
        <w:spacing w:after="0" w:line="480" w:lineRule="auto"/>
        <w:jc w:val="center"/>
        <w:rPr>
          <w:rFonts w:ascii="Times New Roman" w:hAnsi="Times New Roman" w:cs="Times New Roman"/>
          <w:sz w:val="24"/>
          <w:szCs w:val="24"/>
        </w:rPr>
      </w:pPr>
    </w:p>
    <w:p w:rsidR="00D50850" w:rsidRDefault="00D50850" w:rsidP="009C289E">
      <w:pPr>
        <w:spacing w:after="0" w:line="480" w:lineRule="auto"/>
        <w:jc w:val="center"/>
        <w:rPr>
          <w:rFonts w:ascii="Times New Roman" w:hAnsi="Times New Roman" w:cs="Times New Roman"/>
          <w:sz w:val="24"/>
          <w:szCs w:val="24"/>
        </w:rPr>
      </w:pPr>
    </w:p>
    <w:p w:rsidR="00D50850" w:rsidRDefault="00D50850" w:rsidP="009C289E">
      <w:pPr>
        <w:spacing w:after="0" w:line="480" w:lineRule="auto"/>
        <w:jc w:val="center"/>
        <w:rPr>
          <w:rFonts w:ascii="Times New Roman" w:hAnsi="Times New Roman" w:cs="Times New Roman"/>
          <w:sz w:val="24"/>
          <w:szCs w:val="24"/>
        </w:rPr>
      </w:pPr>
    </w:p>
    <w:p w:rsidR="00D50850" w:rsidRDefault="00D50850" w:rsidP="009C289E">
      <w:pPr>
        <w:spacing w:after="0" w:line="480" w:lineRule="auto"/>
        <w:jc w:val="center"/>
        <w:rPr>
          <w:rFonts w:ascii="Times New Roman" w:hAnsi="Times New Roman" w:cs="Times New Roman"/>
          <w:sz w:val="24"/>
          <w:szCs w:val="24"/>
        </w:rPr>
      </w:pPr>
    </w:p>
    <w:p w:rsidR="00D50850" w:rsidRDefault="00D50850" w:rsidP="009C289E">
      <w:pPr>
        <w:spacing w:after="0" w:line="480" w:lineRule="auto"/>
        <w:jc w:val="center"/>
        <w:rPr>
          <w:rFonts w:ascii="Times New Roman" w:hAnsi="Times New Roman" w:cs="Times New Roman"/>
          <w:sz w:val="24"/>
          <w:szCs w:val="24"/>
        </w:rPr>
      </w:pPr>
    </w:p>
    <w:p w:rsidR="00D50850" w:rsidRDefault="00D50850" w:rsidP="009C289E">
      <w:pPr>
        <w:spacing w:after="0" w:line="480" w:lineRule="auto"/>
        <w:jc w:val="center"/>
        <w:rPr>
          <w:rFonts w:ascii="Times New Roman" w:hAnsi="Times New Roman" w:cs="Times New Roman"/>
          <w:sz w:val="24"/>
          <w:szCs w:val="24"/>
        </w:rPr>
      </w:pPr>
    </w:p>
    <w:p w:rsidR="009C289E" w:rsidRDefault="009C289E" w:rsidP="009C289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D50850" w:rsidRPr="00D50850" w:rsidRDefault="00D50850" w:rsidP="00D50850">
      <w:pPr>
        <w:spacing w:line="480" w:lineRule="auto"/>
        <w:ind w:left="1440" w:hanging="1440"/>
        <w:rPr>
          <w:rFonts w:ascii="New times Romans" w:eastAsiaTheme="minorHAnsi" w:hAnsi="New times Romans" w:cs="Arial"/>
          <w:sz w:val="24"/>
          <w:szCs w:val="24"/>
          <w:shd w:val="clear" w:color="auto" w:fill="FFFFFF"/>
        </w:rPr>
      </w:pPr>
      <w:r w:rsidRPr="00D50850">
        <w:rPr>
          <w:rFonts w:ascii="New times Romans" w:eastAsiaTheme="minorHAnsi" w:hAnsi="New times Romans" w:cs="Arial"/>
          <w:sz w:val="24"/>
          <w:szCs w:val="24"/>
          <w:shd w:val="clear" w:color="auto" w:fill="FFFFFF"/>
        </w:rPr>
        <w:t>Boone, L., Kurtz, D., &amp; Qualman, E. (2011). </w:t>
      </w:r>
      <w:r w:rsidRPr="00D50850">
        <w:rPr>
          <w:rFonts w:ascii="New times Romans" w:eastAsiaTheme="minorHAnsi" w:hAnsi="New times Romans" w:cs="Arial"/>
          <w:i/>
          <w:iCs/>
          <w:sz w:val="24"/>
          <w:szCs w:val="24"/>
          <w:shd w:val="clear" w:color="auto" w:fill="FFFFFF"/>
        </w:rPr>
        <w:t>Contemporary business</w:t>
      </w:r>
      <w:r w:rsidRPr="00D50850">
        <w:rPr>
          <w:rFonts w:ascii="New times Romans" w:eastAsiaTheme="minorHAnsi" w:hAnsi="New times Romans" w:cs="Arial"/>
          <w:sz w:val="24"/>
          <w:szCs w:val="24"/>
          <w:shd w:val="clear" w:color="auto" w:fill="FFFFFF"/>
        </w:rPr>
        <w:t>. Hoboken, NJ: Wiley Custom Learning Solutions.</w:t>
      </w:r>
    </w:p>
    <w:p w:rsidR="00D50850" w:rsidRPr="00D50850" w:rsidRDefault="00D50850" w:rsidP="00D50850">
      <w:pPr>
        <w:spacing w:line="480" w:lineRule="auto"/>
        <w:ind w:left="1440" w:hanging="1440"/>
        <w:rPr>
          <w:rFonts w:ascii="New times Romans" w:eastAsiaTheme="minorHAnsi" w:hAnsi="New times Romans" w:cs="Arial"/>
          <w:sz w:val="24"/>
          <w:szCs w:val="24"/>
          <w:shd w:val="clear" w:color="auto" w:fill="FFFFFF"/>
        </w:rPr>
      </w:pPr>
      <w:r w:rsidRPr="00D50850">
        <w:rPr>
          <w:rFonts w:ascii="New times Romans" w:eastAsiaTheme="minorHAnsi" w:hAnsi="New times Romans" w:cs="Arial"/>
          <w:sz w:val="24"/>
          <w:szCs w:val="24"/>
          <w:shd w:val="clear" w:color="auto" w:fill="FFFFFF"/>
        </w:rPr>
        <w:t>Hartogh, M. It's Still the Real Thing: A Profile of the Coca Cola Company. </w:t>
      </w:r>
      <w:r w:rsidRPr="00D50850">
        <w:rPr>
          <w:rFonts w:ascii="New times Romans" w:eastAsiaTheme="minorHAnsi" w:hAnsi="New times Romans" w:cs="Arial"/>
          <w:i/>
          <w:iCs/>
          <w:sz w:val="24"/>
          <w:szCs w:val="24"/>
          <w:shd w:val="clear" w:color="auto" w:fill="FFFFFF"/>
        </w:rPr>
        <w:t>SSRN Electronic Journal</w:t>
      </w:r>
      <w:r w:rsidRPr="00D50850">
        <w:rPr>
          <w:rFonts w:ascii="New times Romans" w:eastAsiaTheme="minorHAnsi" w:hAnsi="New times Romans" w:cs="Arial"/>
          <w:sz w:val="24"/>
          <w:szCs w:val="24"/>
          <w:shd w:val="clear" w:color="auto" w:fill="FFFFFF"/>
        </w:rPr>
        <w:t xml:space="preserve">. </w:t>
      </w:r>
      <w:hyperlink r:id="rId8" w:history="1">
        <w:r w:rsidRPr="00D50850">
          <w:rPr>
            <w:rFonts w:ascii="New times Romans" w:eastAsiaTheme="minorHAnsi" w:hAnsi="New times Romans" w:cs="Arial"/>
            <w:sz w:val="24"/>
            <w:szCs w:val="24"/>
            <w:u w:val="single"/>
            <w:shd w:val="clear" w:color="auto" w:fill="FFFFFF"/>
          </w:rPr>
          <w:t>http://dx.doi.org/10.2139/ssrn.1030577</w:t>
        </w:r>
      </w:hyperlink>
    </w:p>
    <w:p w:rsidR="00D50850" w:rsidRPr="00D50850" w:rsidRDefault="00D50850" w:rsidP="00D50850">
      <w:pPr>
        <w:spacing w:line="480" w:lineRule="auto"/>
        <w:ind w:left="1440" w:hanging="1440"/>
        <w:rPr>
          <w:rFonts w:ascii="New times Romans" w:eastAsiaTheme="minorHAnsi" w:hAnsi="New times Romans" w:cs="Arial"/>
          <w:sz w:val="24"/>
          <w:szCs w:val="24"/>
          <w:shd w:val="clear" w:color="auto" w:fill="FFFFFF"/>
        </w:rPr>
      </w:pPr>
      <w:r w:rsidRPr="00D50850">
        <w:rPr>
          <w:rFonts w:ascii="New times Romans" w:eastAsiaTheme="minorHAnsi" w:hAnsi="New times Romans" w:cs="Arial"/>
          <w:b/>
          <w:bCs/>
          <w:sz w:val="24"/>
          <w:szCs w:val="24"/>
          <w:shd w:val="clear" w:color="auto" w:fill="FFFFFF"/>
        </w:rPr>
        <w:t> </w:t>
      </w:r>
      <w:r w:rsidRPr="00D50850">
        <w:rPr>
          <w:rFonts w:ascii="New times Romans" w:eastAsiaTheme="minorHAnsi" w:hAnsi="New times Romans" w:cs="Arial"/>
          <w:sz w:val="24"/>
          <w:szCs w:val="24"/>
          <w:shd w:val="clear" w:color="auto" w:fill="FFFFFF"/>
        </w:rPr>
        <w:t>Liu, J. (2013). Fixed investment, liquidity, and access to capital markets: New evidence.</w:t>
      </w:r>
      <w:r w:rsidRPr="00D50850">
        <w:rPr>
          <w:rFonts w:ascii="New times Romans" w:eastAsiaTheme="minorHAnsi" w:hAnsi="New times Romans" w:cs="Arial"/>
          <w:i/>
          <w:iCs/>
          <w:sz w:val="24"/>
          <w:szCs w:val="24"/>
          <w:shd w:val="clear" w:color="auto" w:fill="FFFFFF"/>
        </w:rPr>
        <w:t>International Review Of Financial Analysis</w:t>
      </w:r>
      <w:r w:rsidRPr="00D50850">
        <w:rPr>
          <w:rFonts w:ascii="New times Romans" w:eastAsiaTheme="minorHAnsi" w:hAnsi="New times Romans" w:cs="Arial"/>
          <w:sz w:val="24"/>
          <w:szCs w:val="24"/>
          <w:shd w:val="clear" w:color="auto" w:fill="FFFFFF"/>
        </w:rPr>
        <w:t>, </w:t>
      </w:r>
      <w:r w:rsidRPr="00D50850">
        <w:rPr>
          <w:rFonts w:ascii="New times Romans" w:eastAsiaTheme="minorHAnsi" w:hAnsi="New times Romans" w:cs="Arial"/>
          <w:i/>
          <w:iCs/>
          <w:sz w:val="24"/>
          <w:szCs w:val="24"/>
          <w:shd w:val="clear" w:color="auto" w:fill="FFFFFF"/>
        </w:rPr>
        <w:t>29</w:t>
      </w:r>
      <w:r w:rsidRPr="00D50850">
        <w:rPr>
          <w:rFonts w:ascii="New times Romans" w:eastAsiaTheme="minorHAnsi" w:hAnsi="New times Romans" w:cs="Arial"/>
          <w:sz w:val="24"/>
          <w:szCs w:val="24"/>
          <w:shd w:val="clear" w:color="auto" w:fill="FFFFFF"/>
        </w:rPr>
        <w:t xml:space="preserve">, 189-201. </w:t>
      </w:r>
      <w:hyperlink r:id="rId9" w:history="1">
        <w:r w:rsidRPr="00D50850">
          <w:rPr>
            <w:rFonts w:ascii="New times Romans" w:eastAsiaTheme="minorHAnsi" w:hAnsi="New times Romans" w:cs="Arial"/>
            <w:sz w:val="24"/>
            <w:szCs w:val="24"/>
            <w:u w:val="single"/>
            <w:shd w:val="clear" w:color="auto" w:fill="FFFFFF"/>
          </w:rPr>
          <w:t>http://dx.doi.org/10.1016/j.irfa.2012.12.002</w:t>
        </w:r>
      </w:hyperlink>
    </w:p>
    <w:p w:rsidR="00D50850" w:rsidRPr="00D50850" w:rsidRDefault="00D50850" w:rsidP="00D50850">
      <w:pPr>
        <w:spacing w:line="480" w:lineRule="auto"/>
        <w:ind w:left="1440" w:hanging="1440"/>
        <w:rPr>
          <w:rFonts w:ascii="New times Romans" w:eastAsiaTheme="minorHAnsi" w:hAnsi="New times Romans" w:cs="Arial"/>
          <w:sz w:val="24"/>
          <w:szCs w:val="24"/>
          <w:shd w:val="clear" w:color="auto" w:fill="FFFFFF"/>
        </w:rPr>
      </w:pPr>
      <w:r w:rsidRPr="00D50850">
        <w:rPr>
          <w:rFonts w:ascii="New times Romans" w:eastAsiaTheme="minorHAnsi" w:hAnsi="New times Romans" w:cs="Arial"/>
          <w:sz w:val="24"/>
          <w:szCs w:val="24"/>
          <w:shd w:val="clear" w:color="auto" w:fill="FFFFFF"/>
        </w:rPr>
        <w:t>Wang, M. (2015). Brief Analysis of Sports Marketing Strategy Adopted by Coca Cola Company. </w:t>
      </w:r>
      <w:r w:rsidRPr="00D50850">
        <w:rPr>
          <w:rFonts w:ascii="New times Romans" w:eastAsiaTheme="minorHAnsi" w:hAnsi="New times Romans" w:cs="Arial"/>
          <w:i/>
          <w:iCs/>
          <w:sz w:val="24"/>
          <w:szCs w:val="24"/>
          <w:shd w:val="clear" w:color="auto" w:fill="FFFFFF"/>
        </w:rPr>
        <w:t>Asian Social Science</w:t>
      </w:r>
      <w:r w:rsidRPr="00D50850">
        <w:rPr>
          <w:rFonts w:ascii="New times Romans" w:eastAsiaTheme="minorHAnsi" w:hAnsi="New times Romans" w:cs="Arial"/>
          <w:sz w:val="24"/>
          <w:szCs w:val="24"/>
          <w:shd w:val="clear" w:color="auto" w:fill="FFFFFF"/>
        </w:rPr>
        <w:t>, </w:t>
      </w:r>
      <w:r w:rsidRPr="00D50850">
        <w:rPr>
          <w:rFonts w:ascii="New times Romans" w:eastAsiaTheme="minorHAnsi" w:hAnsi="New times Romans" w:cs="Arial"/>
          <w:i/>
          <w:iCs/>
          <w:sz w:val="24"/>
          <w:szCs w:val="24"/>
          <w:shd w:val="clear" w:color="auto" w:fill="FFFFFF"/>
        </w:rPr>
        <w:t>11</w:t>
      </w:r>
      <w:r w:rsidRPr="00D50850">
        <w:rPr>
          <w:rFonts w:ascii="New times Romans" w:eastAsiaTheme="minorHAnsi" w:hAnsi="New times Romans" w:cs="Arial"/>
          <w:sz w:val="24"/>
          <w:szCs w:val="24"/>
          <w:shd w:val="clear" w:color="auto" w:fill="FFFFFF"/>
        </w:rPr>
        <w:t xml:space="preserve">(23). </w:t>
      </w:r>
      <w:hyperlink r:id="rId10" w:history="1">
        <w:r w:rsidRPr="00D50850">
          <w:rPr>
            <w:rFonts w:ascii="New times Romans" w:eastAsiaTheme="minorHAnsi" w:hAnsi="New times Romans" w:cs="Arial"/>
            <w:sz w:val="24"/>
            <w:szCs w:val="24"/>
            <w:u w:val="single"/>
            <w:shd w:val="clear" w:color="auto" w:fill="FFFFFF"/>
          </w:rPr>
          <w:t>http://dx.doi.org/10.5539/ass.v11n23p22</w:t>
        </w:r>
      </w:hyperlink>
    </w:p>
    <w:p w:rsidR="00D50850" w:rsidRPr="00D50850" w:rsidRDefault="00D50850" w:rsidP="00D50850">
      <w:pPr>
        <w:spacing w:line="480" w:lineRule="auto"/>
        <w:ind w:left="1440" w:hanging="1440"/>
        <w:rPr>
          <w:rFonts w:ascii="New times Romans" w:eastAsiaTheme="minorHAnsi" w:hAnsi="New times Romans" w:cs="Arial"/>
          <w:sz w:val="24"/>
          <w:szCs w:val="24"/>
          <w:shd w:val="clear" w:color="auto" w:fill="FFFFFF"/>
        </w:rPr>
      </w:pPr>
      <w:r w:rsidRPr="00D50850">
        <w:rPr>
          <w:rFonts w:ascii="New times Romans" w:eastAsiaTheme="minorHAnsi" w:hAnsi="New times Romans" w:cs="Arial"/>
          <w:sz w:val="24"/>
          <w:szCs w:val="24"/>
          <w:shd w:val="clear" w:color="auto" w:fill="FFFFFF"/>
        </w:rPr>
        <w:t>Wardlaw, B. (2009). Got Gas? Mark Thomas Belches Out the Coca-Cola Company. </w:t>
      </w:r>
      <w:r w:rsidRPr="00D50850">
        <w:rPr>
          <w:rFonts w:ascii="New times Romans" w:eastAsiaTheme="minorHAnsi" w:hAnsi="New times Romans" w:cs="Arial"/>
          <w:i/>
          <w:iCs/>
          <w:sz w:val="24"/>
          <w:szCs w:val="24"/>
          <w:shd w:val="clear" w:color="auto" w:fill="FFFFFF"/>
        </w:rPr>
        <w:t>Monthly Review</w:t>
      </w:r>
      <w:r w:rsidRPr="00D50850">
        <w:rPr>
          <w:rFonts w:ascii="New times Romans" w:eastAsiaTheme="minorHAnsi" w:hAnsi="New times Romans" w:cs="Arial"/>
          <w:sz w:val="24"/>
          <w:szCs w:val="24"/>
          <w:shd w:val="clear" w:color="auto" w:fill="FFFFFF"/>
        </w:rPr>
        <w:t>, </w:t>
      </w:r>
      <w:r w:rsidRPr="00D50850">
        <w:rPr>
          <w:rFonts w:ascii="New times Romans" w:eastAsiaTheme="minorHAnsi" w:hAnsi="New times Romans" w:cs="Arial"/>
          <w:i/>
          <w:iCs/>
          <w:sz w:val="24"/>
          <w:szCs w:val="24"/>
          <w:shd w:val="clear" w:color="auto" w:fill="FFFFFF"/>
        </w:rPr>
        <w:t>61</w:t>
      </w:r>
      <w:r w:rsidRPr="00D50850">
        <w:rPr>
          <w:rFonts w:ascii="New times Romans" w:eastAsiaTheme="minorHAnsi" w:hAnsi="New times Romans" w:cs="Arial"/>
          <w:sz w:val="24"/>
          <w:szCs w:val="24"/>
          <w:shd w:val="clear" w:color="auto" w:fill="FFFFFF"/>
        </w:rPr>
        <w:t>(7), 57. http://dx.doi.org/10.14452/mr-061-07-2009-11_7</w:t>
      </w:r>
    </w:p>
    <w:p w:rsidR="00D50850" w:rsidRPr="00D50850" w:rsidRDefault="00D50850" w:rsidP="00D50850">
      <w:pPr>
        <w:spacing w:line="480" w:lineRule="auto"/>
        <w:rPr>
          <w:rFonts w:ascii="New times Romans" w:eastAsiaTheme="minorHAnsi" w:hAnsi="New times Romans"/>
          <w:sz w:val="24"/>
          <w:szCs w:val="24"/>
        </w:rPr>
      </w:pPr>
    </w:p>
    <w:p w:rsidR="00D50850" w:rsidRDefault="00D50850" w:rsidP="00A12D78">
      <w:pPr>
        <w:pStyle w:val="Bibliography"/>
        <w:spacing w:line="480" w:lineRule="auto"/>
        <w:ind w:left="720" w:hanging="720"/>
        <w:jc w:val="both"/>
        <w:rPr>
          <w:rStyle w:val="selectable"/>
          <w:rFonts w:ascii="Times New Roman" w:hAnsi="Times New Roman" w:cs="Times New Roman"/>
          <w:sz w:val="24"/>
          <w:szCs w:val="24"/>
        </w:rPr>
      </w:pPr>
    </w:p>
    <w:p w:rsidR="009E402A" w:rsidRDefault="009E402A" w:rsidP="009E402A">
      <w:pPr>
        <w:jc w:val="center"/>
      </w:pPr>
    </w:p>
    <w:p w:rsidR="009E402A" w:rsidRDefault="009E402A" w:rsidP="009E402A">
      <w:pPr>
        <w:jc w:val="center"/>
      </w:pPr>
    </w:p>
    <w:p w:rsidR="009E402A" w:rsidRDefault="009E402A" w:rsidP="009E402A">
      <w:pPr>
        <w:jc w:val="center"/>
      </w:pPr>
    </w:p>
    <w:p w:rsidR="009E402A" w:rsidRDefault="009E402A" w:rsidP="009E402A">
      <w:pPr>
        <w:jc w:val="center"/>
      </w:pPr>
    </w:p>
    <w:p w:rsidR="009E402A" w:rsidRDefault="009E402A" w:rsidP="009E402A">
      <w:pPr>
        <w:jc w:val="center"/>
      </w:pPr>
    </w:p>
    <w:p w:rsidR="009E402A" w:rsidRDefault="009E402A" w:rsidP="009E402A">
      <w:pPr>
        <w:jc w:val="center"/>
      </w:pPr>
    </w:p>
    <w:p w:rsidR="00D161A7" w:rsidRDefault="00D161A7" w:rsidP="00D50850">
      <w:pPr>
        <w:spacing w:line="480" w:lineRule="auto"/>
        <w:rPr>
          <w:rFonts w:ascii="New times Romans" w:eastAsiaTheme="minorHAnsi" w:hAnsi="New times Romans"/>
          <w:sz w:val="24"/>
          <w:szCs w:val="24"/>
        </w:rPr>
      </w:pPr>
    </w:p>
    <w:p w:rsidR="00D161A7" w:rsidRDefault="00D161A7" w:rsidP="00D50850">
      <w:pPr>
        <w:spacing w:line="480" w:lineRule="auto"/>
        <w:rPr>
          <w:rFonts w:ascii="New times Romans" w:eastAsiaTheme="minorHAnsi" w:hAnsi="New times Romans"/>
          <w:sz w:val="24"/>
          <w:szCs w:val="24"/>
        </w:rPr>
      </w:pPr>
    </w:p>
    <w:p w:rsidR="00D50850" w:rsidRPr="00D50850" w:rsidRDefault="00D50850" w:rsidP="00D50850">
      <w:pPr>
        <w:spacing w:line="480" w:lineRule="auto"/>
        <w:rPr>
          <w:rFonts w:ascii="New times Romans" w:eastAsiaTheme="minorHAnsi" w:hAnsi="New times Romans"/>
          <w:sz w:val="24"/>
          <w:szCs w:val="24"/>
        </w:rPr>
      </w:pPr>
      <w:r w:rsidRPr="00D50850">
        <w:rPr>
          <w:rFonts w:ascii="New times Romans" w:eastAsiaTheme="minorHAnsi" w:hAnsi="New times Romans"/>
          <w:sz w:val="24"/>
          <w:szCs w:val="24"/>
        </w:rPr>
        <w:t>Appendices</w:t>
      </w:r>
    </w:p>
    <w:p w:rsidR="00D50850" w:rsidRPr="00D50850" w:rsidRDefault="00D50850" w:rsidP="00D50850">
      <w:pPr>
        <w:spacing w:line="480" w:lineRule="auto"/>
        <w:rPr>
          <w:rFonts w:ascii="New times Romans" w:eastAsiaTheme="minorHAnsi" w:hAnsi="New times Romans"/>
          <w:sz w:val="24"/>
          <w:szCs w:val="24"/>
        </w:rPr>
      </w:pPr>
      <w:r w:rsidRPr="00D50850">
        <w:rPr>
          <w:rFonts w:ascii="New times Romans" w:eastAsiaTheme="minorHAnsi" w:hAnsi="New times Romans" w:cs="Arial"/>
          <w:sz w:val="24"/>
          <w:szCs w:val="24"/>
          <w:u w:val="single"/>
          <w:shd w:val="clear" w:color="auto" w:fill="F7FCFE"/>
        </w:rPr>
        <w:t>THE CONSOLIDATION FINANCIAL STATEMENTS OF COCA-COLA COMPANY</w:t>
      </w:r>
    </w:p>
    <w:p w:rsidR="00D50850" w:rsidRPr="00D50850" w:rsidRDefault="00D50850" w:rsidP="00D50850">
      <w:pPr>
        <w:pBdr>
          <w:bottom w:val="single" w:sz="6" w:space="1" w:color="auto"/>
        </w:pBdr>
        <w:spacing w:after="0" w:line="480" w:lineRule="auto"/>
        <w:jc w:val="center"/>
        <w:rPr>
          <w:rFonts w:ascii="New times Romans" w:eastAsia="Times New Roman" w:hAnsi="New times Romans" w:cs="Arial"/>
          <w:vanish/>
          <w:sz w:val="24"/>
          <w:szCs w:val="24"/>
        </w:rPr>
      </w:pPr>
      <w:r w:rsidRPr="00D50850">
        <w:rPr>
          <w:rFonts w:ascii="New times Romans" w:eastAsia="Times New Roman" w:hAnsi="New times Romans" w:cs="Arial"/>
          <w:vanish/>
          <w:sz w:val="24"/>
          <w:szCs w:val="24"/>
        </w:rPr>
        <w:t>Top of Form</w:t>
      </w:r>
    </w:p>
    <w:p w:rsidR="00D50850" w:rsidRPr="00D50850" w:rsidRDefault="00D50850" w:rsidP="00D50850">
      <w:pPr>
        <w:spacing w:after="0" w:line="480" w:lineRule="auto"/>
        <w:rPr>
          <w:rFonts w:ascii="New times Romans" w:eastAsia="Times New Roman" w:hAnsi="New times Romans" w:cs="Arial"/>
          <w:sz w:val="24"/>
          <w:szCs w:val="24"/>
        </w:rPr>
      </w:pPr>
    </w:p>
    <w:p w:rsidR="00D50850" w:rsidRPr="00D50850" w:rsidRDefault="00D50850" w:rsidP="00D50850">
      <w:pPr>
        <w:shd w:val="clear" w:color="auto" w:fill="00539B"/>
        <w:spacing w:after="150" w:line="480" w:lineRule="auto"/>
        <w:outlineLvl w:val="2"/>
        <w:rPr>
          <w:rFonts w:ascii="New times Romans" w:eastAsia="Times New Roman" w:hAnsi="New times Romans" w:cs="Arial"/>
          <w:sz w:val="24"/>
          <w:szCs w:val="24"/>
        </w:rPr>
      </w:pPr>
      <w:r w:rsidRPr="00D50850">
        <w:rPr>
          <w:rFonts w:ascii="New times Romans" w:eastAsia="Times New Roman" w:hAnsi="New times Romans" w:cs="Arial"/>
          <w:sz w:val="24"/>
          <w:szCs w:val="24"/>
          <w:highlight w:val="magenta"/>
        </w:rPr>
        <w:t>Annual Income Statement (values in 000's)</w:t>
      </w:r>
      <w:hyperlink r:id="rId11" w:history="1">
        <w:r w:rsidRPr="00D50850">
          <w:rPr>
            <w:rFonts w:ascii="New times Romans" w:eastAsia="Times New Roman" w:hAnsi="New times Romans" w:cs="Arial"/>
            <w:sz w:val="24"/>
            <w:szCs w:val="24"/>
            <w:highlight w:val="magenta"/>
            <w:u w:val="single"/>
          </w:rPr>
          <w:t>Get Quarterly Data</w:t>
        </w:r>
      </w:hyperlink>
    </w:p>
    <w:tbl>
      <w:tblPr>
        <w:tblW w:w="9510" w:type="dxa"/>
        <w:tblBorders>
          <w:top w:val="single" w:sz="6" w:space="0" w:color="D1D1D1"/>
          <w:left w:val="single" w:sz="6" w:space="0" w:color="D1D1D1"/>
          <w:bottom w:val="single" w:sz="6" w:space="0" w:color="D1D1D1"/>
          <w:right w:val="single" w:sz="6" w:space="0" w:color="D1D1D1"/>
        </w:tblBorders>
        <w:tblCellMar>
          <w:left w:w="0" w:type="dxa"/>
          <w:right w:w="0" w:type="dxa"/>
        </w:tblCellMar>
        <w:tblLook w:val="04A0" w:firstRow="1" w:lastRow="0" w:firstColumn="1" w:lastColumn="0" w:noHBand="0" w:noVBand="1"/>
      </w:tblPr>
      <w:tblGrid>
        <w:gridCol w:w="3307"/>
        <w:gridCol w:w="881"/>
        <w:gridCol w:w="1320"/>
        <w:gridCol w:w="1334"/>
        <w:gridCol w:w="1334"/>
        <w:gridCol w:w="1334"/>
      </w:tblGrid>
      <w:tr w:rsidR="00D50850" w:rsidRPr="00D50850" w:rsidTr="00D50850">
        <w:trPr>
          <w:tblHeader/>
        </w:trPr>
        <w:tc>
          <w:tcPr>
            <w:tcW w:w="0" w:type="auto"/>
            <w:tcBorders>
              <w:top w:val="nil"/>
              <w:left w:val="nil"/>
              <w:bottom w:val="nil"/>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Period Ending:</w:t>
            </w:r>
          </w:p>
        </w:tc>
        <w:tc>
          <w:tcPr>
            <w:tcW w:w="0" w:type="auto"/>
            <w:tcBorders>
              <w:top w:val="nil"/>
              <w:left w:val="nil"/>
              <w:bottom w:val="nil"/>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Trend</w:t>
            </w:r>
          </w:p>
        </w:tc>
        <w:tc>
          <w:tcPr>
            <w:tcW w:w="0" w:type="auto"/>
            <w:tcBorders>
              <w:top w:val="nil"/>
              <w:left w:val="nil"/>
              <w:bottom w:val="nil"/>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1/3/2016</w:t>
            </w:r>
          </w:p>
        </w:tc>
        <w:tc>
          <w:tcPr>
            <w:tcW w:w="0" w:type="auto"/>
            <w:tcBorders>
              <w:top w:val="nil"/>
              <w:left w:val="nil"/>
              <w:bottom w:val="nil"/>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12/28/2014</w:t>
            </w:r>
          </w:p>
        </w:tc>
        <w:tc>
          <w:tcPr>
            <w:tcW w:w="0" w:type="auto"/>
            <w:tcBorders>
              <w:top w:val="nil"/>
              <w:left w:val="nil"/>
              <w:bottom w:val="nil"/>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12/29/2013</w:t>
            </w:r>
          </w:p>
        </w:tc>
        <w:tc>
          <w:tcPr>
            <w:tcW w:w="0" w:type="auto"/>
            <w:tcBorders>
              <w:top w:val="nil"/>
              <w:left w:val="nil"/>
              <w:bottom w:val="nil"/>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12/30/2012</w:t>
            </w:r>
          </w:p>
        </w:tc>
      </w:tr>
      <w:tr w:rsidR="00D50850" w:rsidRPr="00D50850" w:rsidTr="00D50850">
        <w:tc>
          <w:tcPr>
            <w:tcW w:w="0" w:type="auto"/>
            <w:gridSpan w:val="6"/>
            <w:tcBorders>
              <w:top w:val="single" w:sz="6" w:space="0" w:color="850C70"/>
              <w:left w:val="single" w:sz="6" w:space="0" w:color="850C70"/>
              <w:bottom w:val="single" w:sz="6" w:space="0" w:color="850C70"/>
              <w:right w:val="single" w:sz="6" w:space="0" w:color="850C70"/>
            </w:tcBorders>
            <w:shd w:val="clear" w:color="auto" w:fill="850C70"/>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highlight w:val="magenta"/>
              </w:rPr>
              <w:t>Current Assets</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Cash and Cash Equivalents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9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3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9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3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9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3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$55,498</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$9,095</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$11,761</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$10,399</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Short-Term Investments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Net Receivables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7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2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2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$236,620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$162,998</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$138,595</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$131,921</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Inventory</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4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8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7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6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6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$89,464</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$70,740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$61,987</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$65,924</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Other Current Assets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4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8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2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0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9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3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$54,440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$44,168</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$26,872</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$33,068</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Total Current Assets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7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2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2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b/>
                <w:bCs/>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$436,022</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$287,001</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$239,215</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$241,312</w:t>
            </w:r>
          </w:p>
        </w:tc>
      </w:tr>
      <w:tr w:rsidR="00D50850" w:rsidRPr="00D50850" w:rsidTr="00D50850">
        <w:tc>
          <w:tcPr>
            <w:tcW w:w="0" w:type="auto"/>
            <w:gridSpan w:val="6"/>
            <w:tcBorders>
              <w:top w:val="single" w:sz="6" w:space="0" w:color="850C70"/>
              <w:left w:val="single" w:sz="6" w:space="0" w:color="850C70"/>
              <w:bottom w:val="single" w:sz="6" w:space="0" w:color="850C70"/>
              <w:right w:val="single" w:sz="6" w:space="0" w:color="850C70"/>
            </w:tcBorders>
            <w:shd w:val="clear" w:color="auto" w:fill="850C70"/>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Long-Term Assets</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Long-Term Investments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Fixed Assets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7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9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3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9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3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$565,965</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$401,203</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$351,979</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$361,617</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Goodwill</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3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9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3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9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3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9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$117,954</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$106,220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$102,049</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$102,049</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Intangible Assets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3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9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4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8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4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8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$663,988</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$577,820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$524,353</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$524,695</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Other Assets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21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3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9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4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8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$66,887</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$60,832</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$58,560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$53,801</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Deferred Asset Charges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Total Assets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6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6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7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7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b/>
                <w:bCs/>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$1,850,816</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$1,433,076</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$1,276,156</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$1,283,474</w:t>
            </w:r>
          </w:p>
        </w:tc>
      </w:tr>
      <w:tr w:rsidR="00D50850" w:rsidRPr="00D50850" w:rsidTr="00D50850">
        <w:tc>
          <w:tcPr>
            <w:tcW w:w="0" w:type="auto"/>
            <w:gridSpan w:val="6"/>
            <w:tcBorders>
              <w:top w:val="single" w:sz="6" w:space="0" w:color="850C70"/>
              <w:left w:val="single" w:sz="6" w:space="0" w:color="850C70"/>
              <w:bottom w:val="single" w:sz="6" w:space="0" w:color="850C70"/>
              <w:right w:val="single" w:sz="6" w:space="0" w:color="850C70"/>
            </w:tcBorders>
            <w:shd w:val="clear" w:color="auto" w:fill="850C70"/>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Current Liabilities</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Accounts Payable</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7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2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9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3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$319,490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$220,974</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$182,877</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$191,082</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Short-Term Debt / Current Portion of Long-Term Debt</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8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4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8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4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$7,063</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$6,446</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$25,939</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$25,230</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Other Current Liabilities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Total Current Liabilities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7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9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3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7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b/>
                <w:bCs/>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$326,553</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$227,420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$208,816</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$216,312</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Long-Term Debt</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6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6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9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3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7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$672,600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$497,363</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$437,616</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$467,737</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Other Liabilities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4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8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2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7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$382,287</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$311,350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$216,390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$259,022</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Deferred Liability Charges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21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21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21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$146,944</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$140,000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$153,408</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$140,965</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Misc. Stocks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105"/>
                          <w:gridCol w:w="45"/>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105" w:type="dxa"/>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$0</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Minority Interest</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21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3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9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4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8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$79,376</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$73,334</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$68,606</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$64,179</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Total Liabilities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6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6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7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7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b/>
                <w:bCs/>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$1,607,760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$1,249,467</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$1,084,836</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$1,148,215</w:t>
            </w:r>
          </w:p>
        </w:tc>
      </w:tr>
      <w:tr w:rsidR="00D50850" w:rsidRPr="00D50850" w:rsidTr="00D50850">
        <w:tc>
          <w:tcPr>
            <w:tcW w:w="0" w:type="auto"/>
            <w:gridSpan w:val="6"/>
            <w:tcBorders>
              <w:top w:val="single" w:sz="6" w:space="0" w:color="850C70"/>
              <w:left w:val="single" w:sz="6" w:space="0" w:color="850C70"/>
              <w:bottom w:val="single" w:sz="6" w:space="0" w:color="850C70"/>
              <w:right w:val="single" w:sz="6" w:space="0" w:color="850C70"/>
            </w:tcBorders>
            <w:shd w:val="clear" w:color="auto" w:fill="850C70"/>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Stock Holders Equity</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Common Stocks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$12,981</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$12,960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$12,939</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$12,919</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Capital Surplus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21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21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$113,064</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$110,860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$108,942</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$107,681</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Retained Earnings</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4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8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6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6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9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3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$260,672</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$210,957</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$188,869</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$170,439</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Treasury Stock</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20"/>
                          </w:trPr>
                          <w:tc>
                            <w:tcPr>
                              <w:tcW w:w="90" w:type="dxa"/>
                              <w:tcBorders>
                                <w:top w:val="nil"/>
                                <w:left w:val="nil"/>
                                <w:bottom w:val="nil"/>
                                <w:right w:val="nil"/>
                              </w:tcBorders>
                              <w:shd w:val="clear" w:color="auto" w:fill="EE3524"/>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20"/>
                          </w:trPr>
                          <w:tc>
                            <w:tcPr>
                              <w:tcW w:w="90" w:type="dxa"/>
                              <w:tcBorders>
                                <w:top w:val="nil"/>
                                <w:left w:val="nil"/>
                                <w:bottom w:val="nil"/>
                                <w:right w:val="nil"/>
                              </w:tcBorders>
                              <w:shd w:val="clear" w:color="auto" w:fill="EE3524"/>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20"/>
                          </w:trPr>
                          <w:tc>
                            <w:tcPr>
                              <w:tcW w:w="90" w:type="dxa"/>
                              <w:tcBorders>
                                <w:top w:val="nil"/>
                                <w:left w:val="nil"/>
                                <w:bottom w:val="nil"/>
                                <w:right w:val="nil"/>
                              </w:tcBorders>
                              <w:shd w:val="clear" w:color="auto" w:fill="EE3524"/>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gridAfter w:val="1"/>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20"/>
                          </w:trPr>
                          <w:tc>
                            <w:tcPr>
                              <w:tcW w:w="90" w:type="dxa"/>
                              <w:tcBorders>
                                <w:top w:val="nil"/>
                                <w:left w:val="nil"/>
                                <w:bottom w:val="nil"/>
                                <w:right w:val="nil"/>
                              </w:tcBorders>
                              <w:shd w:val="clear" w:color="auto" w:fill="EE3524"/>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($61,254)</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($61,254)</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($61,254)</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($61,254)</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Other Equity</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210"/>
                          </w:trPr>
                          <w:tc>
                            <w:tcPr>
                              <w:tcW w:w="90" w:type="dxa"/>
                              <w:tcBorders>
                                <w:top w:val="nil"/>
                                <w:left w:val="nil"/>
                                <w:bottom w:val="nil"/>
                                <w:right w:val="nil"/>
                              </w:tcBorders>
                              <w:shd w:val="clear" w:color="auto" w:fill="EE3524"/>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225"/>
                          </w:trPr>
                          <w:tc>
                            <w:tcPr>
                              <w:tcW w:w="90" w:type="dxa"/>
                              <w:tcBorders>
                                <w:top w:val="nil"/>
                                <w:left w:val="nil"/>
                                <w:bottom w:val="nil"/>
                                <w:right w:val="nil"/>
                              </w:tcBorders>
                              <w:shd w:val="clear" w:color="auto" w:fill="EE3524"/>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0"/>
                          </w:trPr>
                          <w:tc>
                            <w:tcPr>
                              <w:tcW w:w="90" w:type="dxa"/>
                              <w:tcBorders>
                                <w:top w:val="nil"/>
                                <w:left w:val="nil"/>
                                <w:bottom w:val="nil"/>
                                <w:right w:val="nil"/>
                              </w:tcBorders>
                              <w:shd w:val="clear" w:color="auto" w:fill="EE3524"/>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gridAfter w:val="1"/>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240"/>
                          </w:trPr>
                          <w:tc>
                            <w:tcPr>
                              <w:tcW w:w="90" w:type="dxa"/>
                              <w:tcBorders>
                                <w:top w:val="nil"/>
                                <w:left w:val="nil"/>
                                <w:bottom w:val="nil"/>
                                <w:right w:val="nil"/>
                              </w:tcBorders>
                              <w:shd w:val="clear" w:color="auto" w:fill="EE3524"/>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($82,407)</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($89,914)</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($58,176)</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sz w:val="24"/>
                <w:szCs w:val="24"/>
              </w:rPr>
            </w:pPr>
            <w:r w:rsidRPr="00D50850">
              <w:rPr>
                <w:rFonts w:ascii="New times Romans" w:eastAsia="Times New Roman" w:hAnsi="New times Romans" w:cs="Times New Roman"/>
                <w:sz w:val="24"/>
                <w:szCs w:val="24"/>
              </w:rPr>
              <w:t>($94,526)</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Total Equity</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6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6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4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8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10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2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b/>
                <w:bCs/>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$243,056</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$183,609</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$191,320</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$135,259</w:t>
            </w:r>
          </w:p>
        </w:tc>
      </w:tr>
      <w:tr w:rsidR="00D50850" w:rsidRPr="00D50850" w:rsidTr="00D50850">
        <w:tc>
          <w:tcPr>
            <w:tcW w:w="0" w:type="auto"/>
            <w:tcBorders>
              <w:top w:val="nil"/>
              <w:left w:val="nil"/>
              <w:bottom w:val="nil"/>
              <w:right w:val="nil"/>
            </w:tcBorders>
            <w:shd w:val="clear" w:color="auto" w:fill="E6E6E6"/>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Total Liabilities &amp; Equity</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tbl>
            <w:tblPr>
              <w:tblW w:w="600" w:type="dxa"/>
              <w:jc w:val="center"/>
              <w:tblCellMar>
                <w:left w:w="0" w:type="dxa"/>
                <w:right w:w="0" w:type="dxa"/>
              </w:tblCellMar>
              <w:tblLook w:val="04A0" w:firstRow="1" w:lastRow="0" w:firstColumn="1" w:lastColumn="0" w:noHBand="0" w:noVBand="1"/>
            </w:tblPr>
            <w:tblGrid>
              <w:gridCol w:w="600"/>
            </w:tblGrid>
            <w:tr w:rsidR="00D50850" w:rsidRPr="00D50850" w:rsidTr="00D50850">
              <w:trPr>
                <w:jc w:val="center"/>
              </w:trPr>
              <w:tc>
                <w:tcPr>
                  <w:tcW w:w="0" w:type="auto"/>
                  <w:tcBorders>
                    <w:top w:val="nil"/>
                    <w:left w:val="nil"/>
                    <w:bottom w:val="nil"/>
                    <w:right w:val="nil"/>
                  </w:tcBorders>
                  <w:hideMark/>
                </w:tcPr>
                <w:tbl>
                  <w:tblPr>
                    <w:tblW w:w="600" w:type="dxa"/>
                    <w:tblCellMar>
                      <w:left w:w="0" w:type="dxa"/>
                      <w:right w:w="0" w:type="dxa"/>
                    </w:tblCellMar>
                    <w:tblLook w:val="04A0" w:firstRow="1" w:lastRow="0" w:firstColumn="1" w:lastColumn="0" w:noHBand="0" w:noVBand="1"/>
                  </w:tblPr>
                  <w:tblGrid>
                    <w:gridCol w:w="150"/>
                    <w:gridCol w:w="150"/>
                    <w:gridCol w:w="150"/>
                    <w:gridCol w:w="150"/>
                  </w:tblGrid>
                  <w:tr w:rsidR="00D50850" w:rsidRPr="00D50850" w:rsidTr="00D50850">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22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60"/>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65"/>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7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gridSpan w:val="2"/>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hideMark/>
                      </w:tcPr>
                      <w:tbl>
                        <w:tblPr>
                          <w:tblW w:w="150" w:type="dxa"/>
                          <w:tblCellMar>
                            <w:left w:w="0" w:type="dxa"/>
                            <w:right w:w="0" w:type="dxa"/>
                          </w:tblCellMar>
                          <w:tblLook w:val="04A0" w:firstRow="1" w:lastRow="0" w:firstColumn="1" w:lastColumn="0" w:noHBand="0" w:noVBand="1"/>
                        </w:tblPr>
                        <w:tblGrid>
                          <w:gridCol w:w="90"/>
                          <w:gridCol w:w="60"/>
                        </w:tblGrid>
                        <w:tr w:rsidR="00D50850" w:rsidRPr="00D50850" w:rsidTr="00D50850">
                          <w:trPr>
                            <w:trHeight w:val="75"/>
                          </w:trPr>
                          <w:tc>
                            <w:tcPr>
                              <w:tcW w:w="90" w:type="dxa"/>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0"/>
                          </w:trPr>
                          <w:tc>
                            <w:tcPr>
                              <w:tcW w:w="90" w:type="dxa"/>
                              <w:tcBorders>
                                <w:top w:val="nil"/>
                                <w:left w:val="nil"/>
                                <w:bottom w:val="nil"/>
                                <w:right w:val="nil"/>
                              </w:tcBorders>
                              <w:shd w:val="clear" w:color="auto" w:fill="47C3D3"/>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tcBorders>
                                <w:top w:val="nil"/>
                                <w:left w:val="nil"/>
                                <w:bottom w:val="nil"/>
                                <w:right w:val="nil"/>
                              </w:tcBorders>
                              <w:shd w:val="clear" w:color="auto" w:fill="FFFFFF"/>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r w:rsidR="00D50850" w:rsidRPr="00D50850" w:rsidTr="00D50850">
                          <w:trPr>
                            <w:trHeight w:val="15"/>
                          </w:trPr>
                          <w:tc>
                            <w:tcPr>
                              <w:tcW w:w="0" w:type="auto"/>
                              <w:tcBorders>
                                <w:top w:val="nil"/>
                                <w:left w:val="nil"/>
                                <w:bottom w:val="nil"/>
                                <w:right w:val="nil"/>
                              </w:tcBorders>
                              <w:shd w:val="clear" w:color="auto" w:fill="D1D1D1"/>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c>
                            <w:tcPr>
                              <w:tcW w:w="0" w:type="auto"/>
                              <w:vAlign w:val="center"/>
                              <w:hideMark/>
                            </w:tcPr>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sz w:val="24"/>
                      <w:szCs w:val="24"/>
                    </w:rPr>
                  </w:pPr>
                </w:p>
              </w:tc>
            </w:tr>
          </w:tbl>
          <w:p w:rsidR="00D50850" w:rsidRPr="00D50850" w:rsidRDefault="00D50850" w:rsidP="00D50850">
            <w:pPr>
              <w:spacing w:after="0" w:line="480" w:lineRule="auto"/>
              <w:rPr>
                <w:rFonts w:ascii="New times Romans" w:eastAsia="Times New Roman" w:hAnsi="New times Romans" w:cs="Times New Roman"/>
                <w:b/>
                <w:bCs/>
                <w:sz w:val="24"/>
                <w:szCs w:val="24"/>
              </w:rPr>
            </w:pP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$1,850,816</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$1,433,076</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$1,276,156</w:t>
            </w:r>
          </w:p>
        </w:tc>
        <w:tc>
          <w:tcPr>
            <w:tcW w:w="0" w:type="auto"/>
            <w:tcBorders>
              <w:top w:val="single" w:sz="2" w:space="0" w:color="auto"/>
              <w:left w:val="nil"/>
              <w:bottom w:val="single" w:sz="6" w:space="0" w:color="E6E6E6"/>
              <w:right w:val="nil"/>
            </w:tcBorders>
            <w:tcMar>
              <w:top w:w="120" w:type="dxa"/>
              <w:left w:w="120" w:type="dxa"/>
              <w:bottom w:w="120" w:type="dxa"/>
              <w:right w:w="120" w:type="dxa"/>
            </w:tcMar>
            <w:hideMark/>
          </w:tcPr>
          <w:p w:rsidR="00D50850" w:rsidRPr="00D50850" w:rsidRDefault="00D50850" w:rsidP="00D50850">
            <w:pPr>
              <w:spacing w:after="0" w:line="480" w:lineRule="auto"/>
              <w:rPr>
                <w:rFonts w:ascii="New times Romans" w:eastAsia="Times New Roman" w:hAnsi="New times Romans" w:cs="Times New Roman"/>
                <w:b/>
                <w:bCs/>
                <w:sz w:val="24"/>
                <w:szCs w:val="24"/>
              </w:rPr>
            </w:pPr>
            <w:r w:rsidRPr="00D50850">
              <w:rPr>
                <w:rFonts w:ascii="New times Romans" w:eastAsia="Times New Roman" w:hAnsi="New times Romans" w:cs="Times New Roman"/>
                <w:b/>
                <w:bCs/>
                <w:sz w:val="24"/>
                <w:szCs w:val="24"/>
              </w:rPr>
              <w:t>$1,283,474</w:t>
            </w:r>
          </w:p>
        </w:tc>
      </w:tr>
    </w:tbl>
    <w:p w:rsidR="00D50850" w:rsidRPr="00D50850" w:rsidRDefault="00D50850" w:rsidP="00D50850">
      <w:pPr>
        <w:pBdr>
          <w:top w:val="single" w:sz="6" w:space="1" w:color="auto"/>
        </w:pBdr>
        <w:spacing w:after="150" w:line="480" w:lineRule="auto"/>
        <w:jc w:val="center"/>
        <w:rPr>
          <w:rFonts w:ascii="New times Romans" w:eastAsia="Times New Roman" w:hAnsi="New times Romans" w:cs="Arial"/>
          <w:vanish/>
          <w:sz w:val="24"/>
          <w:szCs w:val="24"/>
        </w:rPr>
      </w:pPr>
      <w:r w:rsidRPr="00D50850">
        <w:rPr>
          <w:rFonts w:ascii="New times Romans" w:eastAsia="Times New Roman" w:hAnsi="New times Romans" w:cs="Arial"/>
          <w:vanish/>
          <w:sz w:val="24"/>
          <w:szCs w:val="24"/>
        </w:rPr>
        <w:t>Bottom of Form</w:t>
      </w:r>
    </w:p>
    <w:p w:rsidR="009E402A" w:rsidRDefault="00D50850" w:rsidP="00D50850">
      <w:pPr>
        <w:jc w:val="center"/>
      </w:pPr>
      <w:r w:rsidRPr="00D50850">
        <w:rPr>
          <w:rFonts w:ascii="New times Romans" w:eastAsia="Times New Roman" w:hAnsi="New times Romans" w:cs="Arial"/>
          <w:sz w:val="24"/>
          <w:szCs w:val="24"/>
          <w:bdr w:val="none" w:sz="0" w:space="0" w:color="auto" w:frame="1"/>
        </w:rPr>
        <w:br/>
      </w:r>
      <w:r w:rsidRPr="00D50850">
        <w:rPr>
          <w:rFonts w:ascii="New times Romans" w:eastAsia="Times New Roman" w:hAnsi="New times Romans" w:cs="Arial"/>
          <w:sz w:val="24"/>
          <w:szCs w:val="24"/>
          <w:bdr w:val="none" w:sz="0" w:space="0" w:color="auto" w:frame="1"/>
        </w:rPr>
        <w:br/>
      </w:r>
    </w:p>
    <w:p w:rsidR="009E402A" w:rsidRDefault="009E402A" w:rsidP="009E402A">
      <w:pPr>
        <w:jc w:val="center"/>
      </w:pPr>
    </w:p>
    <w:p w:rsidR="009E402A" w:rsidRDefault="009E402A" w:rsidP="009E402A">
      <w:pPr>
        <w:jc w:val="center"/>
      </w:pPr>
    </w:p>
    <w:p w:rsidR="009E402A" w:rsidRDefault="009E402A" w:rsidP="009E402A">
      <w:pPr>
        <w:jc w:val="center"/>
      </w:pPr>
    </w:p>
    <w:p w:rsidR="009E402A" w:rsidRDefault="009E402A" w:rsidP="009E402A">
      <w:pPr>
        <w:jc w:val="center"/>
      </w:pPr>
    </w:p>
    <w:sectPr w:rsidR="009E402A" w:rsidSect="00DF54EA">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946" w:rsidRDefault="00870946" w:rsidP="00FE4E17">
      <w:pPr>
        <w:spacing w:after="0" w:line="240" w:lineRule="auto"/>
      </w:pPr>
      <w:r>
        <w:separator/>
      </w:r>
    </w:p>
  </w:endnote>
  <w:endnote w:type="continuationSeparator" w:id="0">
    <w:p w:rsidR="00870946" w:rsidRDefault="00870946" w:rsidP="00FE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 times Rom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946" w:rsidRDefault="00870946" w:rsidP="00FE4E17">
      <w:pPr>
        <w:spacing w:after="0" w:line="240" w:lineRule="auto"/>
      </w:pPr>
      <w:r>
        <w:separator/>
      </w:r>
    </w:p>
  </w:footnote>
  <w:footnote w:type="continuationSeparator" w:id="0">
    <w:p w:rsidR="00870946" w:rsidRDefault="00870946" w:rsidP="00FE4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4688"/>
      <w:docPartObj>
        <w:docPartGallery w:val="Page Numbers (Top of Page)"/>
        <w:docPartUnique/>
      </w:docPartObj>
    </w:sdtPr>
    <w:sdtEndPr>
      <w:rPr>
        <w:rFonts w:ascii="Times New Roman" w:hAnsi="Times New Roman" w:cs="Times New Roman"/>
        <w:sz w:val="24"/>
        <w:szCs w:val="24"/>
      </w:rPr>
    </w:sdtEndPr>
    <w:sdtContent>
      <w:p w:rsidR="006B34A2" w:rsidRPr="00DB599B" w:rsidRDefault="006B34A2">
        <w:pPr>
          <w:pStyle w:val="Header"/>
          <w:jc w:val="right"/>
          <w:rPr>
            <w:rFonts w:ascii="Times New Roman" w:hAnsi="Times New Roman" w:cs="Times New Roman"/>
            <w:sz w:val="24"/>
            <w:szCs w:val="24"/>
          </w:rPr>
        </w:pPr>
        <w:r w:rsidRPr="00DB599B">
          <w:rPr>
            <w:rFonts w:ascii="Times New Roman" w:hAnsi="Times New Roman" w:cs="Times New Roman"/>
            <w:sz w:val="24"/>
            <w:szCs w:val="24"/>
          </w:rPr>
          <w:fldChar w:fldCharType="begin"/>
        </w:r>
        <w:r w:rsidRPr="00DB599B">
          <w:rPr>
            <w:rFonts w:ascii="Times New Roman" w:hAnsi="Times New Roman" w:cs="Times New Roman"/>
            <w:sz w:val="24"/>
            <w:szCs w:val="24"/>
          </w:rPr>
          <w:instrText xml:space="preserve"> PAGE   \* MERGEFORMAT </w:instrText>
        </w:r>
        <w:r w:rsidRPr="00DB599B">
          <w:rPr>
            <w:rFonts w:ascii="Times New Roman" w:hAnsi="Times New Roman" w:cs="Times New Roman"/>
            <w:sz w:val="24"/>
            <w:szCs w:val="24"/>
          </w:rPr>
          <w:fldChar w:fldCharType="separate"/>
        </w:r>
        <w:r w:rsidR="00002992">
          <w:rPr>
            <w:rFonts w:ascii="Times New Roman" w:hAnsi="Times New Roman" w:cs="Times New Roman"/>
            <w:noProof/>
            <w:sz w:val="24"/>
            <w:szCs w:val="24"/>
          </w:rPr>
          <w:t>5</w:t>
        </w:r>
        <w:r w:rsidRPr="00DB599B">
          <w:rPr>
            <w:rFonts w:ascii="Times New Roman" w:hAnsi="Times New Roman" w:cs="Times New Roman"/>
            <w:sz w:val="24"/>
            <w:szCs w:val="24"/>
          </w:rPr>
          <w:fldChar w:fldCharType="end"/>
        </w:r>
      </w:p>
    </w:sdtContent>
  </w:sdt>
  <w:p w:rsidR="006B34A2" w:rsidRDefault="006B34A2" w:rsidP="00770CDF">
    <w:pPr>
      <w:pStyle w:val="Header"/>
    </w:pPr>
    <w:r>
      <w:rPr>
        <w:rFonts w:ascii="Times New Roman" w:hAnsi="Times New Roman" w:cs="Times New Roman"/>
        <w:sz w:val="24"/>
        <w:szCs w:val="24"/>
      </w:rPr>
      <w:t xml:space="preserve">FINANCIAL </w:t>
    </w:r>
    <w:r w:rsidRPr="002D71B0">
      <w:rPr>
        <w:rFonts w:ascii="Times New Roman" w:hAnsi="Times New Roman" w:cs="Times New Roman"/>
        <w:sz w:val="24"/>
        <w:szCs w:val="24"/>
      </w:rPr>
      <w:t xml:space="preserve">ANALYSIS OF </w:t>
    </w:r>
    <w:r>
      <w:rPr>
        <w:rFonts w:ascii="Times New Roman" w:hAnsi="Times New Roman" w:cs="Times New Roman"/>
        <w:sz w:val="24"/>
        <w:szCs w:val="24"/>
      </w:rPr>
      <w:t xml:space="preserve">THE </w:t>
    </w:r>
    <w:r w:rsidRPr="002D71B0">
      <w:rPr>
        <w:rFonts w:ascii="Times New Roman" w:hAnsi="Times New Roman" w:cs="Times New Roman"/>
        <w:sz w:val="24"/>
        <w:szCs w:val="24"/>
      </w:rPr>
      <w:t>COCA</w:t>
    </w:r>
    <w:r>
      <w:rPr>
        <w:rFonts w:ascii="Times New Roman" w:hAnsi="Times New Roman" w:cs="Times New Roman"/>
        <w:sz w:val="24"/>
        <w:szCs w:val="24"/>
      </w:rPr>
      <w:t>-</w:t>
    </w:r>
    <w:r w:rsidRPr="002D71B0">
      <w:rPr>
        <w:rFonts w:ascii="Times New Roman" w:hAnsi="Times New Roman" w:cs="Times New Roman"/>
        <w:sz w:val="24"/>
        <w:szCs w:val="24"/>
      </w:rPr>
      <w:t>COLA CORPORATION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55907"/>
      <w:docPartObj>
        <w:docPartGallery w:val="Page Numbers (Top of Page)"/>
        <w:docPartUnique/>
      </w:docPartObj>
    </w:sdtPr>
    <w:sdtEndPr>
      <w:rPr>
        <w:rFonts w:ascii="Times New Roman" w:hAnsi="Times New Roman" w:cs="Times New Roman"/>
        <w:sz w:val="24"/>
        <w:szCs w:val="24"/>
      </w:rPr>
    </w:sdtEndPr>
    <w:sdtContent>
      <w:p w:rsidR="006B34A2" w:rsidRPr="00DF54EA" w:rsidRDefault="006B34A2">
        <w:pPr>
          <w:pStyle w:val="Header"/>
          <w:jc w:val="right"/>
          <w:rPr>
            <w:rFonts w:ascii="Times New Roman" w:hAnsi="Times New Roman" w:cs="Times New Roman"/>
            <w:sz w:val="24"/>
            <w:szCs w:val="24"/>
          </w:rPr>
        </w:pPr>
        <w:r w:rsidRPr="00DF54EA">
          <w:rPr>
            <w:rFonts w:ascii="Times New Roman" w:hAnsi="Times New Roman" w:cs="Times New Roman"/>
            <w:sz w:val="24"/>
            <w:szCs w:val="24"/>
          </w:rPr>
          <w:fldChar w:fldCharType="begin"/>
        </w:r>
        <w:r w:rsidRPr="00DF54EA">
          <w:rPr>
            <w:rFonts w:ascii="Times New Roman" w:hAnsi="Times New Roman" w:cs="Times New Roman"/>
            <w:sz w:val="24"/>
            <w:szCs w:val="24"/>
          </w:rPr>
          <w:instrText xml:space="preserve"> PAGE   \* MERGEFORMAT </w:instrText>
        </w:r>
        <w:r w:rsidRPr="00DF54EA">
          <w:rPr>
            <w:rFonts w:ascii="Times New Roman" w:hAnsi="Times New Roman" w:cs="Times New Roman"/>
            <w:sz w:val="24"/>
            <w:szCs w:val="24"/>
          </w:rPr>
          <w:fldChar w:fldCharType="separate"/>
        </w:r>
        <w:r w:rsidR="00002992">
          <w:rPr>
            <w:rFonts w:ascii="Times New Roman" w:hAnsi="Times New Roman" w:cs="Times New Roman"/>
            <w:noProof/>
            <w:sz w:val="24"/>
            <w:szCs w:val="24"/>
          </w:rPr>
          <w:t>1</w:t>
        </w:r>
        <w:r w:rsidRPr="00DF54EA">
          <w:rPr>
            <w:rFonts w:ascii="Times New Roman" w:hAnsi="Times New Roman" w:cs="Times New Roman"/>
            <w:sz w:val="24"/>
            <w:szCs w:val="24"/>
          </w:rPr>
          <w:fldChar w:fldCharType="end"/>
        </w:r>
      </w:p>
    </w:sdtContent>
  </w:sdt>
  <w:p w:rsidR="006B34A2" w:rsidRPr="00DF54EA" w:rsidRDefault="006B34A2">
    <w:pPr>
      <w:pStyle w:val="Header"/>
      <w:rPr>
        <w:rFonts w:ascii="Times New Roman" w:hAnsi="Times New Roman" w:cs="Times New Roman"/>
        <w:sz w:val="24"/>
        <w:szCs w:val="24"/>
      </w:rPr>
    </w:pPr>
    <w:r>
      <w:rPr>
        <w:rFonts w:ascii="Times New Roman" w:hAnsi="Times New Roman" w:cs="Times New Roman"/>
        <w:sz w:val="24"/>
        <w:szCs w:val="24"/>
      </w:rPr>
      <w:t>Running h</w:t>
    </w:r>
    <w:r w:rsidRPr="00DF54EA">
      <w:rPr>
        <w:rFonts w:ascii="Times New Roman" w:hAnsi="Times New Roman" w:cs="Times New Roman"/>
        <w:sz w:val="24"/>
        <w:szCs w:val="24"/>
      </w:rPr>
      <w:t xml:space="preserve">ead: </w:t>
    </w:r>
    <w:r>
      <w:rPr>
        <w:rFonts w:ascii="Times New Roman" w:hAnsi="Times New Roman" w:cs="Times New Roman"/>
        <w:sz w:val="24"/>
        <w:szCs w:val="24"/>
      </w:rPr>
      <w:t xml:space="preserve">FINANCIAL </w:t>
    </w:r>
    <w:r w:rsidRPr="00DE7470">
      <w:rPr>
        <w:rFonts w:ascii="Times New Roman" w:hAnsi="Times New Roman" w:cs="Times New Roman"/>
        <w:sz w:val="24"/>
        <w:szCs w:val="24"/>
      </w:rPr>
      <w:t xml:space="preserve">ANALYSIS OF </w:t>
    </w:r>
    <w:r>
      <w:rPr>
        <w:rFonts w:ascii="Times New Roman" w:hAnsi="Times New Roman" w:cs="Times New Roman"/>
        <w:sz w:val="24"/>
        <w:szCs w:val="24"/>
      </w:rPr>
      <w:t xml:space="preserve">THE </w:t>
    </w:r>
    <w:r w:rsidRPr="00DE7470">
      <w:rPr>
        <w:rFonts w:ascii="Times New Roman" w:hAnsi="Times New Roman" w:cs="Times New Roman"/>
        <w:sz w:val="24"/>
        <w:szCs w:val="24"/>
      </w:rPr>
      <w:t>COCA</w:t>
    </w:r>
    <w:r>
      <w:rPr>
        <w:rFonts w:ascii="Times New Roman" w:hAnsi="Times New Roman" w:cs="Times New Roman"/>
        <w:sz w:val="24"/>
        <w:szCs w:val="24"/>
      </w:rPr>
      <w:t>-</w:t>
    </w:r>
    <w:r w:rsidRPr="00DE7470">
      <w:rPr>
        <w:rFonts w:ascii="Times New Roman" w:hAnsi="Times New Roman" w:cs="Times New Roman"/>
        <w:sz w:val="24"/>
        <w:szCs w:val="24"/>
      </w:rPr>
      <w:t>COLA CORPORATION</w:t>
    </w:r>
  </w:p>
  <w:p w:rsidR="006B34A2" w:rsidRDefault="006B34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44633"/>
    <w:multiLevelType w:val="hybridMultilevel"/>
    <w:tmpl w:val="960E06A0"/>
    <w:lvl w:ilvl="0" w:tplc="D3BC57B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21"/>
    <w:rsid w:val="00002992"/>
    <w:rsid w:val="000067AE"/>
    <w:rsid w:val="00012D7F"/>
    <w:rsid w:val="00031F83"/>
    <w:rsid w:val="00070142"/>
    <w:rsid w:val="0007489A"/>
    <w:rsid w:val="00080375"/>
    <w:rsid w:val="00090313"/>
    <w:rsid w:val="000B1648"/>
    <w:rsid w:val="000B3D8B"/>
    <w:rsid w:val="000D3F65"/>
    <w:rsid w:val="000D663E"/>
    <w:rsid w:val="00116119"/>
    <w:rsid w:val="00116A1D"/>
    <w:rsid w:val="00141DCF"/>
    <w:rsid w:val="00152147"/>
    <w:rsid w:val="00171E21"/>
    <w:rsid w:val="00180457"/>
    <w:rsid w:val="00197F2C"/>
    <w:rsid w:val="001B3077"/>
    <w:rsid w:val="001B4728"/>
    <w:rsid w:val="001E163E"/>
    <w:rsid w:val="001F153D"/>
    <w:rsid w:val="00223412"/>
    <w:rsid w:val="00231E22"/>
    <w:rsid w:val="00243A94"/>
    <w:rsid w:val="00256059"/>
    <w:rsid w:val="00272B75"/>
    <w:rsid w:val="002D0AAA"/>
    <w:rsid w:val="002D71B0"/>
    <w:rsid w:val="002F66C9"/>
    <w:rsid w:val="00300221"/>
    <w:rsid w:val="00310CEE"/>
    <w:rsid w:val="00315F05"/>
    <w:rsid w:val="003214AD"/>
    <w:rsid w:val="0032462C"/>
    <w:rsid w:val="00341B98"/>
    <w:rsid w:val="00355A7D"/>
    <w:rsid w:val="00387B57"/>
    <w:rsid w:val="003957CD"/>
    <w:rsid w:val="003B37FC"/>
    <w:rsid w:val="003B48E1"/>
    <w:rsid w:val="003F59D8"/>
    <w:rsid w:val="00402F67"/>
    <w:rsid w:val="00417B71"/>
    <w:rsid w:val="0044243C"/>
    <w:rsid w:val="00460496"/>
    <w:rsid w:val="004679EF"/>
    <w:rsid w:val="00472DB1"/>
    <w:rsid w:val="00475DEB"/>
    <w:rsid w:val="00493485"/>
    <w:rsid w:val="004A3CF2"/>
    <w:rsid w:val="004D06EE"/>
    <w:rsid w:val="004F2C2A"/>
    <w:rsid w:val="004F5E86"/>
    <w:rsid w:val="00505465"/>
    <w:rsid w:val="005236CB"/>
    <w:rsid w:val="0053659F"/>
    <w:rsid w:val="00560334"/>
    <w:rsid w:val="00561977"/>
    <w:rsid w:val="005B74B6"/>
    <w:rsid w:val="005C339A"/>
    <w:rsid w:val="005D10A0"/>
    <w:rsid w:val="005E0476"/>
    <w:rsid w:val="0060509D"/>
    <w:rsid w:val="0067056D"/>
    <w:rsid w:val="006715FA"/>
    <w:rsid w:val="00680343"/>
    <w:rsid w:val="00681994"/>
    <w:rsid w:val="0069094D"/>
    <w:rsid w:val="006B34A2"/>
    <w:rsid w:val="006B50D1"/>
    <w:rsid w:val="006B762C"/>
    <w:rsid w:val="006F4B5D"/>
    <w:rsid w:val="00707434"/>
    <w:rsid w:val="00733390"/>
    <w:rsid w:val="007361F6"/>
    <w:rsid w:val="007424BA"/>
    <w:rsid w:val="0074477B"/>
    <w:rsid w:val="0074734E"/>
    <w:rsid w:val="00751BFE"/>
    <w:rsid w:val="007572A4"/>
    <w:rsid w:val="00761D9E"/>
    <w:rsid w:val="00770CDF"/>
    <w:rsid w:val="00782A5D"/>
    <w:rsid w:val="00782C9F"/>
    <w:rsid w:val="007C4855"/>
    <w:rsid w:val="007C7EFA"/>
    <w:rsid w:val="007F4FB8"/>
    <w:rsid w:val="00810D47"/>
    <w:rsid w:val="00830E38"/>
    <w:rsid w:val="00840B3E"/>
    <w:rsid w:val="00870946"/>
    <w:rsid w:val="008A129C"/>
    <w:rsid w:val="008A2C07"/>
    <w:rsid w:val="008B1E19"/>
    <w:rsid w:val="008C5A16"/>
    <w:rsid w:val="008C7F7C"/>
    <w:rsid w:val="008E1F75"/>
    <w:rsid w:val="009274B4"/>
    <w:rsid w:val="009430C1"/>
    <w:rsid w:val="009467BA"/>
    <w:rsid w:val="0095653F"/>
    <w:rsid w:val="00967D54"/>
    <w:rsid w:val="00993033"/>
    <w:rsid w:val="009A42A9"/>
    <w:rsid w:val="009C0019"/>
    <w:rsid w:val="009C289E"/>
    <w:rsid w:val="009E402A"/>
    <w:rsid w:val="00A01F7F"/>
    <w:rsid w:val="00A0695B"/>
    <w:rsid w:val="00A12D78"/>
    <w:rsid w:val="00A200F1"/>
    <w:rsid w:val="00A50D28"/>
    <w:rsid w:val="00A63FE5"/>
    <w:rsid w:val="00A964FD"/>
    <w:rsid w:val="00A97105"/>
    <w:rsid w:val="00AB7497"/>
    <w:rsid w:val="00AC12B4"/>
    <w:rsid w:val="00AD2A59"/>
    <w:rsid w:val="00AD56C1"/>
    <w:rsid w:val="00AE5659"/>
    <w:rsid w:val="00B018E7"/>
    <w:rsid w:val="00B03971"/>
    <w:rsid w:val="00B10D06"/>
    <w:rsid w:val="00B54C9D"/>
    <w:rsid w:val="00B709AC"/>
    <w:rsid w:val="00B717DE"/>
    <w:rsid w:val="00BB5FF7"/>
    <w:rsid w:val="00BD51E6"/>
    <w:rsid w:val="00BE0087"/>
    <w:rsid w:val="00BE1ABB"/>
    <w:rsid w:val="00BF4DBD"/>
    <w:rsid w:val="00C0502C"/>
    <w:rsid w:val="00C2694D"/>
    <w:rsid w:val="00C3613D"/>
    <w:rsid w:val="00C36A27"/>
    <w:rsid w:val="00C61A75"/>
    <w:rsid w:val="00CA303B"/>
    <w:rsid w:val="00CA7DBF"/>
    <w:rsid w:val="00CC2422"/>
    <w:rsid w:val="00D161A7"/>
    <w:rsid w:val="00D50509"/>
    <w:rsid w:val="00D50850"/>
    <w:rsid w:val="00D8504A"/>
    <w:rsid w:val="00D867A1"/>
    <w:rsid w:val="00D872DE"/>
    <w:rsid w:val="00D95712"/>
    <w:rsid w:val="00DA2C1B"/>
    <w:rsid w:val="00DB599B"/>
    <w:rsid w:val="00DC54F5"/>
    <w:rsid w:val="00DF54EA"/>
    <w:rsid w:val="00E124BE"/>
    <w:rsid w:val="00E419DB"/>
    <w:rsid w:val="00E92194"/>
    <w:rsid w:val="00EA07F6"/>
    <w:rsid w:val="00EB0BF3"/>
    <w:rsid w:val="00EB6E3D"/>
    <w:rsid w:val="00EB74F7"/>
    <w:rsid w:val="00EF332A"/>
    <w:rsid w:val="00F06985"/>
    <w:rsid w:val="00F22948"/>
    <w:rsid w:val="00F43E2B"/>
    <w:rsid w:val="00F44EF1"/>
    <w:rsid w:val="00F52972"/>
    <w:rsid w:val="00F62242"/>
    <w:rsid w:val="00F66ECC"/>
    <w:rsid w:val="00F8273F"/>
    <w:rsid w:val="00F82B8A"/>
    <w:rsid w:val="00F97C92"/>
    <w:rsid w:val="00FB7D05"/>
    <w:rsid w:val="00FC376F"/>
    <w:rsid w:val="00FD2BAD"/>
    <w:rsid w:val="00FE4DFE"/>
    <w:rsid w:val="00FE4E17"/>
    <w:rsid w:val="00FE5F5E"/>
    <w:rsid w:val="00FF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12F33AD4-874D-445B-B8F9-40B823D9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ECC"/>
  </w:style>
  <w:style w:type="paragraph" w:styleId="Heading3">
    <w:name w:val="heading 3"/>
    <w:basedOn w:val="Normal"/>
    <w:next w:val="Normal"/>
    <w:link w:val="Heading3Char"/>
    <w:uiPriority w:val="9"/>
    <w:semiHidden/>
    <w:unhideWhenUsed/>
    <w:qFormat/>
    <w:rsid w:val="00BF4D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17"/>
  </w:style>
  <w:style w:type="paragraph" w:styleId="Footer">
    <w:name w:val="footer"/>
    <w:basedOn w:val="Normal"/>
    <w:link w:val="FooterChar"/>
    <w:uiPriority w:val="99"/>
    <w:unhideWhenUsed/>
    <w:rsid w:val="00FE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17"/>
  </w:style>
  <w:style w:type="character" w:customStyle="1" w:styleId="apple-converted-space">
    <w:name w:val="apple-converted-space"/>
    <w:basedOn w:val="DefaultParagraphFont"/>
    <w:rsid w:val="00180457"/>
  </w:style>
  <w:style w:type="character" w:styleId="Hyperlink">
    <w:name w:val="Hyperlink"/>
    <w:basedOn w:val="DefaultParagraphFont"/>
    <w:uiPriority w:val="99"/>
    <w:unhideWhenUsed/>
    <w:rsid w:val="009C289E"/>
    <w:rPr>
      <w:color w:val="0000FF" w:themeColor="hyperlink"/>
      <w:u w:val="single"/>
    </w:rPr>
  </w:style>
  <w:style w:type="paragraph" w:styleId="Bibliography">
    <w:name w:val="Bibliography"/>
    <w:basedOn w:val="Normal"/>
    <w:next w:val="Normal"/>
    <w:uiPriority w:val="37"/>
    <w:unhideWhenUsed/>
    <w:rsid w:val="00A12D78"/>
    <w:pPr>
      <w:spacing w:after="160" w:line="259" w:lineRule="auto"/>
    </w:pPr>
    <w:rPr>
      <w:rFonts w:eastAsiaTheme="minorHAnsi"/>
    </w:rPr>
  </w:style>
  <w:style w:type="character" w:customStyle="1" w:styleId="selectable">
    <w:name w:val="selectable"/>
    <w:basedOn w:val="DefaultParagraphFont"/>
    <w:rsid w:val="009467BA"/>
  </w:style>
  <w:style w:type="paragraph" w:styleId="BalloonText">
    <w:name w:val="Balloon Text"/>
    <w:basedOn w:val="Normal"/>
    <w:link w:val="BalloonTextChar"/>
    <w:uiPriority w:val="99"/>
    <w:semiHidden/>
    <w:unhideWhenUsed/>
    <w:rsid w:val="00EA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7F6"/>
    <w:rPr>
      <w:rFonts w:ascii="Segoe UI" w:hAnsi="Segoe UI" w:cs="Segoe UI"/>
      <w:sz w:val="18"/>
      <w:szCs w:val="18"/>
    </w:rPr>
  </w:style>
  <w:style w:type="character" w:customStyle="1" w:styleId="Heading3Char">
    <w:name w:val="Heading 3 Char"/>
    <w:basedOn w:val="DefaultParagraphFont"/>
    <w:link w:val="Heading3"/>
    <w:uiPriority w:val="9"/>
    <w:semiHidden/>
    <w:rsid w:val="00BF4DBD"/>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BF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2B8A"/>
    <w:pPr>
      <w:spacing w:after="0" w:line="240" w:lineRule="auto"/>
    </w:pPr>
  </w:style>
  <w:style w:type="paragraph" w:styleId="ListParagraph">
    <w:name w:val="List Paragraph"/>
    <w:basedOn w:val="Normal"/>
    <w:uiPriority w:val="34"/>
    <w:qFormat/>
    <w:rsid w:val="00442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3224">
      <w:bodyDiv w:val="1"/>
      <w:marLeft w:val="0"/>
      <w:marRight w:val="0"/>
      <w:marTop w:val="0"/>
      <w:marBottom w:val="0"/>
      <w:divBdr>
        <w:top w:val="none" w:sz="0" w:space="0" w:color="auto"/>
        <w:left w:val="none" w:sz="0" w:space="0" w:color="auto"/>
        <w:bottom w:val="none" w:sz="0" w:space="0" w:color="auto"/>
        <w:right w:val="none" w:sz="0" w:space="0" w:color="auto"/>
      </w:divBdr>
    </w:div>
    <w:div w:id="163321512">
      <w:bodyDiv w:val="1"/>
      <w:marLeft w:val="0"/>
      <w:marRight w:val="0"/>
      <w:marTop w:val="0"/>
      <w:marBottom w:val="0"/>
      <w:divBdr>
        <w:top w:val="none" w:sz="0" w:space="0" w:color="auto"/>
        <w:left w:val="none" w:sz="0" w:space="0" w:color="auto"/>
        <w:bottom w:val="none" w:sz="0" w:space="0" w:color="auto"/>
        <w:right w:val="none" w:sz="0" w:space="0" w:color="auto"/>
      </w:divBdr>
    </w:div>
    <w:div w:id="168644667">
      <w:bodyDiv w:val="1"/>
      <w:marLeft w:val="0"/>
      <w:marRight w:val="0"/>
      <w:marTop w:val="0"/>
      <w:marBottom w:val="0"/>
      <w:divBdr>
        <w:top w:val="none" w:sz="0" w:space="0" w:color="auto"/>
        <w:left w:val="none" w:sz="0" w:space="0" w:color="auto"/>
        <w:bottom w:val="none" w:sz="0" w:space="0" w:color="auto"/>
        <w:right w:val="none" w:sz="0" w:space="0" w:color="auto"/>
      </w:divBdr>
    </w:div>
    <w:div w:id="428694714">
      <w:bodyDiv w:val="1"/>
      <w:marLeft w:val="0"/>
      <w:marRight w:val="0"/>
      <w:marTop w:val="0"/>
      <w:marBottom w:val="0"/>
      <w:divBdr>
        <w:top w:val="none" w:sz="0" w:space="0" w:color="auto"/>
        <w:left w:val="none" w:sz="0" w:space="0" w:color="auto"/>
        <w:bottom w:val="none" w:sz="0" w:space="0" w:color="auto"/>
        <w:right w:val="none" w:sz="0" w:space="0" w:color="auto"/>
      </w:divBdr>
    </w:div>
    <w:div w:id="480006335">
      <w:bodyDiv w:val="1"/>
      <w:marLeft w:val="0"/>
      <w:marRight w:val="0"/>
      <w:marTop w:val="0"/>
      <w:marBottom w:val="0"/>
      <w:divBdr>
        <w:top w:val="none" w:sz="0" w:space="0" w:color="auto"/>
        <w:left w:val="none" w:sz="0" w:space="0" w:color="auto"/>
        <w:bottom w:val="none" w:sz="0" w:space="0" w:color="auto"/>
        <w:right w:val="none" w:sz="0" w:space="0" w:color="auto"/>
      </w:divBdr>
    </w:div>
    <w:div w:id="548734808">
      <w:bodyDiv w:val="1"/>
      <w:marLeft w:val="0"/>
      <w:marRight w:val="0"/>
      <w:marTop w:val="0"/>
      <w:marBottom w:val="0"/>
      <w:divBdr>
        <w:top w:val="none" w:sz="0" w:space="0" w:color="auto"/>
        <w:left w:val="none" w:sz="0" w:space="0" w:color="auto"/>
        <w:bottom w:val="none" w:sz="0" w:space="0" w:color="auto"/>
        <w:right w:val="none" w:sz="0" w:space="0" w:color="auto"/>
      </w:divBdr>
    </w:div>
    <w:div w:id="570964650">
      <w:bodyDiv w:val="1"/>
      <w:marLeft w:val="0"/>
      <w:marRight w:val="0"/>
      <w:marTop w:val="0"/>
      <w:marBottom w:val="0"/>
      <w:divBdr>
        <w:top w:val="none" w:sz="0" w:space="0" w:color="auto"/>
        <w:left w:val="none" w:sz="0" w:space="0" w:color="auto"/>
        <w:bottom w:val="none" w:sz="0" w:space="0" w:color="auto"/>
        <w:right w:val="none" w:sz="0" w:space="0" w:color="auto"/>
      </w:divBdr>
    </w:div>
    <w:div w:id="727265293">
      <w:bodyDiv w:val="1"/>
      <w:marLeft w:val="0"/>
      <w:marRight w:val="0"/>
      <w:marTop w:val="0"/>
      <w:marBottom w:val="0"/>
      <w:divBdr>
        <w:top w:val="none" w:sz="0" w:space="0" w:color="auto"/>
        <w:left w:val="none" w:sz="0" w:space="0" w:color="auto"/>
        <w:bottom w:val="none" w:sz="0" w:space="0" w:color="auto"/>
        <w:right w:val="none" w:sz="0" w:space="0" w:color="auto"/>
      </w:divBdr>
    </w:div>
    <w:div w:id="904803537">
      <w:bodyDiv w:val="1"/>
      <w:marLeft w:val="0"/>
      <w:marRight w:val="0"/>
      <w:marTop w:val="0"/>
      <w:marBottom w:val="0"/>
      <w:divBdr>
        <w:top w:val="none" w:sz="0" w:space="0" w:color="auto"/>
        <w:left w:val="none" w:sz="0" w:space="0" w:color="auto"/>
        <w:bottom w:val="none" w:sz="0" w:space="0" w:color="auto"/>
        <w:right w:val="none" w:sz="0" w:space="0" w:color="auto"/>
      </w:divBdr>
    </w:div>
    <w:div w:id="910501591">
      <w:bodyDiv w:val="1"/>
      <w:marLeft w:val="0"/>
      <w:marRight w:val="0"/>
      <w:marTop w:val="0"/>
      <w:marBottom w:val="0"/>
      <w:divBdr>
        <w:top w:val="none" w:sz="0" w:space="0" w:color="auto"/>
        <w:left w:val="none" w:sz="0" w:space="0" w:color="auto"/>
        <w:bottom w:val="none" w:sz="0" w:space="0" w:color="auto"/>
        <w:right w:val="none" w:sz="0" w:space="0" w:color="auto"/>
      </w:divBdr>
    </w:div>
    <w:div w:id="945651622">
      <w:bodyDiv w:val="1"/>
      <w:marLeft w:val="0"/>
      <w:marRight w:val="0"/>
      <w:marTop w:val="0"/>
      <w:marBottom w:val="0"/>
      <w:divBdr>
        <w:top w:val="none" w:sz="0" w:space="0" w:color="auto"/>
        <w:left w:val="none" w:sz="0" w:space="0" w:color="auto"/>
        <w:bottom w:val="none" w:sz="0" w:space="0" w:color="auto"/>
        <w:right w:val="none" w:sz="0" w:space="0" w:color="auto"/>
      </w:divBdr>
    </w:div>
    <w:div w:id="1018890760">
      <w:bodyDiv w:val="1"/>
      <w:marLeft w:val="0"/>
      <w:marRight w:val="0"/>
      <w:marTop w:val="0"/>
      <w:marBottom w:val="0"/>
      <w:divBdr>
        <w:top w:val="none" w:sz="0" w:space="0" w:color="auto"/>
        <w:left w:val="none" w:sz="0" w:space="0" w:color="auto"/>
        <w:bottom w:val="none" w:sz="0" w:space="0" w:color="auto"/>
        <w:right w:val="none" w:sz="0" w:space="0" w:color="auto"/>
      </w:divBdr>
    </w:div>
    <w:div w:id="1149858339">
      <w:bodyDiv w:val="1"/>
      <w:marLeft w:val="0"/>
      <w:marRight w:val="0"/>
      <w:marTop w:val="0"/>
      <w:marBottom w:val="0"/>
      <w:divBdr>
        <w:top w:val="none" w:sz="0" w:space="0" w:color="auto"/>
        <w:left w:val="none" w:sz="0" w:space="0" w:color="auto"/>
        <w:bottom w:val="none" w:sz="0" w:space="0" w:color="auto"/>
        <w:right w:val="none" w:sz="0" w:space="0" w:color="auto"/>
      </w:divBdr>
    </w:div>
    <w:div w:id="1212382106">
      <w:bodyDiv w:val="1"/>
      <w:marLeft w:val="0"/>
      <w:marRight w:val="0"/>
      <w:marTop w:val="0"/>
      <w:marBottom w:val="0"/>
      <w:divBdr>
        <w:top w:val="none" w:sz="0" w:space="0" w:color="auto"/>
        <w:left w:val="none" w:sz="0" w:space="0" w:color="auto"/>
        <w:bottom w:val="none" w:sz="0" w:space="0" w:color="auto"/>
        <w:right w:val="none" w:sz="0" w:space="0" w:color="auto"/>
      </w:divBdr>
    </w:div>
    <w:div w:id="1310355268">
      <w:bodyDiv w:val="1"/>
      <w:marLeft w:val="0"/>
      <w:marRight w:val="0"/>
      <w:marTop w:val="0"/>
      <w:marBottom w:val="0"/>
      <w:divBdr>
        <w:top w:val="none" w:sz="0" w:space="0" w:color="auto"/>
        <w:left w:val="none" w:sz="0" w:space="0" w:color="auto"/>
        <w:bottom w:val="none" w:sz="0" w:space="0" w:color="auto"/>
        <w:right w:val="none" w:sz="0" w:space="0" w:color="auto"/>
      </w:divBdr>
    </w:div>
    <w:div w:id="1359769944">
      <w:bodyDiv w:val="1"/>
      <w:marLeft w:val="0"/>
      <w:marRight w:val="0"/>
      <w:marTop w:val="0"/>
      <w:marBottom w:val="0"/>
      <w:divBdr>
        <w:top w:val="none" w:sz="0" w:space="0" w:color="auto"/>
        <w:left w:val="none" w:sz="0" w:space="0" w:color="auto"/>
        <w:bottom w:val="none" w:sz="0" w:space="0" w:color="auto"/>
        <w:right w:val="none" w:sz="0" w:space="0" w:color="auto"/>
      </w:divBdr>
    </w:div>
    <w:div w:id="1397315263">
      <w:bodyDiv w:val="1"/>
      <w:marLeft w:val="0"/>
      <w:marRight w:val="0"/>
      <w:marTop w:val="0"/>
      <w:marBottom w:val="0"/>
      <w:divBdr>
        <w:top w:val="none" w:sz="0" w:space="0" w:color="auto"/>
        <w:left w:val="none" w:sz="0" w:space="0" w:color="auto"/>
        <w:bottom w:val="none" w:sz="0" w:space="0" w:color="auto"/>
        <w:right w:val="none" w:sz="0" w:space="0" w:color="auto"/>
      </w:divBdr>
    </w:div>
    <w:div w:id="1571888564">
      <w:bodyDiv w:val="1"/>
      <w:marLeft w:val="0"/>
      <w:marRight w:val="0"/>
      <w:marTop w:val="0"/>
      <w:marBottom w:val="0"/>
      <w:divBdr>
        <w:top w:val="none" w:sz="0" w:space="0" w:color="auto"/>
        <w:left w:val="none" w:sz="0" w:space="0" w:color="auto"/>
        <w:bottom w:val="none" w:sz="0" w:space="0" w:color="auto"/>
        <w:right w:val="none" w:sz="0" w:space="0" w:color="auto"/>
      </w:divBdr>
    </w:div>
    <w:div w:id="1650406514">
      <w:bodyDiv w:val="1"/>
      <w:marLeft w:val="0"/>
      <w:marRight w:val="0"/>
      <w:marTop w:val="0"/>
      <w:marBottom w:val="0"/>
      <w:divBdr>
        <w:top w:val="none" w:sz="0" w:space="0" w:color="auto"/>
        <w:left w:val="none" w:sz="0" w:space="0" w:color="auto"/>
        <w:bottom w:val="none" w:sz="0" w:space="0" w:color="auto"/>
        <w:right w:val="none" w:sz="0" w:space="0" w:color="auto"/>
      </w:divBdr>
    </w:div>
    <w:div w:id="1656102511">
      <w:bodyDiv w:val="1"/>
      <w:marLeft w:val="0"/>
      <w:marRight w:val="0"/>
      <w:marTop w:val="0"/>
      <w:marBottom w:val="0"/>
      <w:divBdr>
        <w:top w:val="none" w:sz="0" w:space="0" w:color="auto"/>
        <w:left w:val="none" w:sz="0" w:space="0" w:color="auto"/>
        <w:bottom w:val="none" w:sz="0" w:space="0" w:color="auto"/>
        <w:right w:val="none" w:sz="0" w:space="0" w:color="auto"/>
      </w:divBdr>
    </w:div>
    <w:div w:id="1702248145">
      <w:bodyDiv w:val="1"/>
      <w:marLeft w:val="0"/>
      <w:marRight w:val="0"/>
      <w:marTop w:val="0"/>
      <w:marBottom w:val="0"/>
      <w:divBdr>
        <w:top w:val="none" w:sz="0" w:space="0" w:color="auto"/>
        <w:left w:val="none" w:sz="0" w:space="0" w:color="auto"/>
        <w:bottom w:val="none" w:sz="0" w:space="0" w:color="auto"/>
        <w:right w:val="none" w:sz="0" w:space="0" w:color="auto"/>
      </w:divBdr>
    </w:div>
    <w:div w:id="1748261087">
      <w:bodyDiv w:val="1"/>
      <w:marLeft w:val="0"/>
      <w:marRight w:val="0"/>
      <w:marTop w:val="0"/>
      <w:marBottom w:val="0"/>
      <w:divBdr>
        <w:top w:val="none" w:sz="0" w:space="0" w:color="auto"/>
        <w:left w:val="none" w:sz="0" w:space="0" w:color="auto"/>
        <w:bottom w:val="none" w:sz="0" w:space="0" w:color="auto"/>
        <w:right w:val="none" w:sz="0" w:space="0" w:color="auto"/>
      </w:divBdr>
    </w:div>
    <w:div w:id="1842235147">
      <w:bodyDiv w:val="1"/>
      <w:marLeft w:val="0"/>
      <w:marRight w:val="0"/>
      <w:marTop w:val="0"/>
      <w:marBottom w:val="0"/>
      <w:divBdr>
        <w:top w:val="none" w:sz="0" w:space="0" w:color="auto"/>
        <w:left w:val="none" w:sz="0" w:space="0" w:color="auto"/>
        <w:bottom w:val="none" w:sz="0" w:space="0" w:color="auto"/>
        <w:right w:val="none" w:sz="0" w:space="0" w:color="auto"/>
      </w:divBdr>
    </w:div>
    <w:div w:id="20558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2139/ssrn.103057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daq.com/symbol/coke/financials?query=balance-sheet&amp;data=quarterl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5539/ass.v11n23p22" TargetMode="External"/><Relationship Id="rId4" Type="http://schemas.openxmlformats.org/officeDocument/2006/relationships/settings" Target="settings.xml"/><Relationship Id="rId9" Type="http://schemas.openxmlformats.org/officeDocument/2006/relationships/hyperlink" Target="http://dx.doi.org/10.1016/j.irfa.2012.12.0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Kan15</b:Tag>
    <b:SourceType>InternetSite</b:SourceType>
    <b:Guid>{7A0999DA-F154-43F6-A952-E8858CD63E6A}</b:Guid>
    <b:Title>Coca-cola finds innovation with start ups</b:Title>
    <b:Year>2015</b:Year>
    <b:Author>
      <b:Author>
        <b:Corporate>Kaneshige</b:Corporate>
      </b:Author>
    </b:Author>
    <b:InternetSiteTitle>CIO</b:InternetSiteTitle>
    <b:Month>May</b:Month>
    <b:Day>22</b:Day>
    <b:URL>www.cio.com/article/2925960/innovation/coca-cola-finds-innovation-with-start-ups</b:URL>
    <b:YearAccessed>2016</b:YearAccessed>
    <b:MonthAccessed>July</b:MonthAccessed>
    <b:DayAccessed>19</b:DayAccessed>
    <b:RefOrder>1</b:RefOrder>
  </b:Source>
  <b:Source>
    <b:Tag>Ire16</b:Tag>
    <b:SourceType>InternetSite</b:SourceType>
    <b:Guid>{A8A3AA5F-71B4-4DC3-9D33-5119C9378BA3}</b:Guid>
    <b:Author>
      <b:Author>
        <b:Corporate>Ireland</b:Corporate>
      </b:Author>
    </b:Author>
    <b:Title>Does coca-cola Use Technology to gain an advantage?</b:Title>
    <b:InternetSiteTitle>Small busines</b:InternetSiteTitle>
    <b:URL>smallbusiness.chron.com/cocacola-use-technology-to-gain-an-advantage-27339.html</b:URL>
    <b:YearAccessed>2016</b:YearAccessed>
    <b:MonthAccessed>July</b:MonthAccessed>
    <b:DayAccessed>19</b:DayAccessed>
    <b:RefOrder>2</b:RefOrder>
  </b:Source>
  <b:Source>
    <b:Tag>Nas16</b:Tag>
    <b:SourceType>InternetSite</b:SourceType>
    <b:Guid>{5FB57762-4CD2-4F61-B72F-EF2AEBA822DB}</b:Guid>
    <b:Author>
      <b:Author>
        <b:Corporate>Nasdaq</b:Corporate>
      </b:Author>
    </b:Author>
    <b:Title>Coca-cola company (the) analyst</b:Title>
    <b:InternetSiteTitle>Nasdaq.com</b:InternetSiteTitle>
    <b:Year>2016</b:Year>
    <b:URL>www.nasdaq.com/symbol/ko/earnings-growth</b:URL>
    <b:RefOrder>3</b:RefOrder>
  </b:Source>
</b:Sources>
</file>

<file path=customXml/itemProps1.xml><?xml version="1.0" encoding="utf-8"?>
<ds:datastoreItem xmlns:ds="http://schemas.openxmlformats.org/officeDocument/2006/customXml" ds:itemID="{67B60288-558A-4EEB-B27E-92174438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Natasha B. Evans</cp:lastModifiedBy>
  <cp:revision>4</cp:revision>
  <cp:lastPrinted>2016-08-16T23:26:00Z</cp:lastPrinted>
  <dcterms:created xsi:type="dcterms:W3CDTF">2016-08-26T22:32:00Z</dcterms:created>
  <dcterms:modified xsi:type="dcterms:W3CDTF">2016-08-26T22:39:00Z</dcterms:modified>
</cp:coreProperties>
</file>