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4B" w:rsidRPr="00834B8A" w:rsidRDefault="0056384B" w:rsidP="00834B8A">
      <w:pPr>
        <w:pStyle w:val="NormalWeb"/>
        <w:spacing w:line="360" w:lineRule="auto"/>
        <w:rPr>
          <w:rFonts w:eastAsia="MS Mincho"/>
          <w:b/>
        </w:rPr>
      </w:pPr>
      <w:r w:rsidRPr="00834B8A">
        <w:rPr>
          <w:b/>
        </w:rPr>
        <w:t xml:space="preserve"> </w:t>
      </w:r>
      <w:r w:rsidRPr="00834B8A">
        <w:rPr>
          <w:b/>
        </w:rPr>
        <w:t>What are the goals of tax research</w:t>
      </w:r>
      <w:r w:rsidR="00DE7622" w:rsidRPr="00834B8A">
        <w:rPr>
          <w:b/>
        </w:rPr>
        <w:t>?</w:t>
      </w:r>
      <w:r w:rsidR="00DE7622" w:rsidRPr="00834B8A">
        <w:rPr>
          <w:rFonts w:ascii="MS Mincho" w:eastAsia="MS Mincho" w:hAnsi="MS Mincho" w:cs="MS Mincho" w:hint="eastAsia"/>
          <w:b/>
        </w:rPr>
        <w:t xml:space="preserve"> </w:t>
      </w:r>
      <w:r w:rsidR="00DE7622" w:rsidRPr="00834B8A">
        <w:rPr>
          <w:rFonts w:ascii="MS Mincho" w:eastAsia="MS Mincho" w:hAnsi="MS Mincho" w:cs="MS Mincho"/>
          <w:b/>
        </w:rPr>
        <w:t> </w:t>
      </w:r>
      <w:bookmarkStart w:id="0" w:name="_GoBack"/>
      <w:bookmarkEnd w:id="0"/>
    </w:p>
    <w:p w:rsidR="0056384B" w:rsidRPr="00834B8A" w:rsidRDefault="008111E0" w:rsidP="00834B8A">
      <w:pPr>
        <w:pStyle w:val="NormalWeb"/>
        <w:spacing w:line="360" w:lineRule="auto"/>
      </w:pPr>
      <w:r w:rsidRPr="00834B8A">
        <w:t xml:space="preserve">A tax research is mostly done to ensure that the matters that are complicated in the taxing of the citizen have the </w:t>
      </w:r>
      <w:r w:rsidR="00834B8A" w:rsidRPr="00834B8A">
        <w:t>solution;</w:t>
      </w:r>
      <w:r w:rsidRPr="00834B8A">
        <w:t xml:space="preserve"> one should understand the amount taxed and the help he or she gets from the tax given to the government.</w:t>
      </w:r>
    </w:p>
    <w:p w:rsidR="0056384B" w:rsidRPr="00834B8A" w:rsidRDefault="0056384B" w:rsidP="00834B8A">
      <w:pPr>
        <w:pStyle w:val="NormalWeb"/>
        <w:spacing w:line="360" w:lineRule="auto"/>
        <w:rPr>
          <w:rFonts w:eastAsia="MS Mincho"/>
          <w:b/>
        </w:rPr>
      </w:pPr>
      <w:r w:rsidRPr="00834B8A">
        <w:rPr>
          <w:b/>
        </w:rPr>
        <w:t>Assess how one becomes an effective tax researcher.</w:t>
      </w:r>
      <w:r w:rsidRPr="00834B8A">
        <w:rPr>
          <w:rFonts w:ascii="MS Mincho" w:eastAsia="MS Mincho" w:hAnsi="MS Mincho" w:cs="MS Mincho" w:hint="eastAsia"/>
          <w:b/>
        </w:rPr>
        <w:t> </w:t>
      </w:r>
    </w:p>
    <w:p w:rsidR="00632AF2" w:rsidRPr="00834B8A" w:rsidRDefault="008111E0" w:rsidP="00834B8A">
      <w:pPr>
        <w:pStyle w:val="NormalWeb"/>
        <w:spacing w:line="360" w:lineRule="auto"/>
        <w:rPr>
          <w:rFonts w:eastAsia="MS Mincho"/>
        </w:rPr>
      </w:pPr>
      <w:r w:rsidRPr="00834B8A">
        <w:rPr>
          <w:rFonts w:eastAsia="MS Mincho"/>
        </w:rPr>
        <w:t>Consulting the experts</w:t>
      </w:r>
    </w:p>
    <w:p w:rsidR="008111E0" w:rsidRPr="00834B8A" w:rsidRDefault="008111E0" w:rsidP="00834B8A">
      <w:pPr>
        <w:pStyle w:val="NormalWeb"/>
        <w:spacing w:line="360" w:lineRule="auto"/>
      </w:pPr>
      <w:r w:rsidRPr="00834B8A">
        <w:t>The tax experts’ should be consulted on the complicated areas and those without an obvious in the knowledge about the tax matters.</w:t>
      </w:r>
    </w:p>
    <w:p w:rsidR="008111E0" w:rsidRPr="00834B8A" w:rsidRDefault="008111E0" w:rsidP="00834B8A">
      <w:pPr>
        <w:pStyle w:val="NormalWeb"/>
        <w:spacing w:line="360" w:lineRule="auto"/>
      </w:pPr>
      <w:r w:rsidRPr="00834B8A">
        <w:t>They should stay persistence</w:t>
      </w:r>
    </w:p>
    <w:p w:rsidR="008111E0" w:rsidRPr="00834B8A" w:rsidRDefault="008111E0" w:rsidP="00834B8A">
      <w:pPr>
        <w:pStyle w:val="NormalWeb"/>
        <w:spacing w:line="360" w:lineRule="auto"/>
      </w:pPr>
      <w:r w:rsidRPr="00834B8A">
        <w:t>As seen in most cases the clients consult tax experts also to help in the complicated answers, getting the solution then one should make a savvy researcher suspicious.</w:t>
      </w:r>
    </w:p>
    <w:p w:rsidR="008111E0" w:rsidRPr="00834B8A" w:rsidRDefault="008111E0" w:rsidP="00834B8A">
      <w:pPr>
        <w:spacing w:after="0" w:line="360" w:lineRule="auto"/>
        <w:rPr>
          <w:rFonts w:ascii="Times New Roman" w:eastAsia="Times New Roman" w:hAnsi="Times New Roman" w:cs="Times New Roman"/>
          <w:sz w:val="24"/>
          <w:szCs w:val="24"/>
        </w:rPr>
      </w:pPr>
      <w:r w:rsidRPr="008111E0">
        <w:rPr>
          <w:rFonts w:ascii="Times New Roman" w:eastAsia="Times New Roman" w:hAnsi="Times New Roman" w:cs="Times New Roman"/>
          <w:sz w:val="24"/>
          <w:szCs w:val="24"/>
        </w:rPr>
        <w:t>FOCUS ON THE FACTS</w:t>
      </w:r>
    </w:p>
    <w:p w:rsidR="008111E0" w:rsidRPr="008111E0" w:rsidRDefault="008111E0" w:rsidP="00834B8A">
      <w:pPr>
        <w:spacing w:after="0" w:line="360" w:lineRule="auto"/>
        <w:rPr>
          <w:rFonts w:ascii="Times New Roman" w:eastAsia="Times New Roman" w:hAnsi="Times New Roman" w:cs="Times New Roman"/>
          <w:sz w:val="24"/>
          <w:szCs w:val="24"/>
        </w:rPr>
      </w:pPr>
    </w:p>
    <w:p w:rsidR="008111E0" w:rsidRPr="008111E0" w:rsidRDefault="008111E0" w:rsidP="00834B8A">
      <w:pPr>
        <w:spacing w:after="0" w:line="360" w:lineRule="auto"/>
        <w:rPr>
          <w:rFonts w:ascii="Times New Roman" w:eastAsia="Times New Roman" w:hAnsi="Times New Roman" w:cs="Times New Roman"/>
          <w:sz w:val="24"/>
          <w:szCs w:val="24"/>
        </w:rPr>
      </w:pPr>
      <w:r w:rsidRPr="008111E0">
        <w:rPr>
          <w:rFonts w:ascii="Times New Roman" w:eastAsia="Times New Roman" w:hAnsi="Times New Roman" w:cs="Times New Roman"/>
          <w:sz w:val="24"/>
          <w:szCs w:val="24"/>
        </w:rPr>
        <w:t>Once the tax practitioner has narrowed in on the correct question, he needs to find one or more primary sources of law to answer the question. Editorial materials generally cite to the leading case or ruling standing for a proposition, and this is often a great starting point. After reading the cited primary source he tax adviser may conclude that while it does state the rule very clearly, the facts of the case are different in some important respect from the facts of the situation being researched.</w:t>
      </w:r>
    </w:p>
    <w:p w:rsidR="008111E0" w:rsidRPr="00834B8A" w:rsidRDefault="008111E0" w:rsidP="00834B8A">
      <w:pPr>
        <w:pStyle w:val="NormalWeb"/>
        <w:spacing w:line="360" w:lineRule="auto"/>
      </w:pPr>
    </w:p>
    <w:p w:rsidR="0056384B" w:rsidRPr="00834B8A" w:rsidRDefault="0056384B" w:rsidP="00834B8A">
      <w:pPr>
        <w:pStyle w:val="NormalWeb"/>
        <w:spacing w:line="360" w:lineRule="auto"/>
      </w:pPr>
      <w:r w:rsidRPr="00834B8A">
        <w:t>Analyze the functions of commercial tax services, annotated tax services and topical tax services.</w:t>
      </w:r>
      <w:r w:rsidRPr="00834B8A">
        <w:rPr>
          <w:rFonts w:ascii="MS Mincho" w:eastAsia="MS Mincho" w:hAnsi="MS Mincho" w:cs="MS Mincho" w:hint="eastAsia"/>
        </w:rPr>
        <w:t> </w:t>
      </w:r>
    </w:p>
    <w:p w:rsidR="008111E0" w:rsidRPr="00834B8A" w:rsidRDefault="0056384B" w:rsidP="00834B8A">
      <w:pPr>
        <w:pStyle w:val="NormalWeb"/>
        <w:spacing w:line="360" w:lineRule="auto"/>
      </w:pPr>
      <w:r w:rsidRPr="00834B8A">
        <w:rPr>
          <w:b/>
        </w:rPr>
        <w:t xml:space="preserve">Describe the function of the </w:t>
      </w:r>
      <w:proofErr w:type="spellStart"/>
      <w:r w:rsidR="00834B8A" w:rsidRPr="00834B8A">
        <w:rPr>
          <w:b/>
        </w:rPr>
        <w:t>citator</w:t>
      </w:r>
      <w:proofErr w:type="spellEnd"/>
      <w:r w:rsidR="00834B8A" w:rsidRPr="00834B8A">
        <w:rPr>
          <w:b/>
        </w:rPr>
        <w:t xml:space="preserve"> in</w:t>
      </w:r>
      <w:r w:rsidRPr="00834B8A">
        <w:rPr>
          <w:b/>
        </w:rPr>
        <w:t xml:space="preserve"> the tax research process</w:t>
      </w:r>
      <w:r w:rsidRPr="00834B8A">
        <w:t>.</w:t>
      </w:r>
    </w:p>
    <w:p w:rsidR="0056384B" w:rsidRPr="00834B8A" w:rsidRDefault="00834B8A" w:rsidP="00834B8A">
      <w:pPr>
        <w:pStyle w:val="NormalWeb"/>
        <w:spacing w:line="360" w:lineRule="auto"/>
      </w:pPr>
      <w:r w:rsidRPr="00834B8A">
        <w:lastRenderedPageBreak/>
        <w:t xml:space="preserve">Citators </w:t>
      </w:r>
      <w:r w:rsidRPr="00834B8A">
        <w:t>do</w:t>
      </w:r>
      <w:r w:rsidRPr="00834B8A">
        <w:t xml:space="preserve"> provide citing references, which provide other rulings or court cases that have discussed the cited ruling. You can also find information in a citator about how the decision of the cited case has been interpreted by other courts.</w:t>
      </w:r>
      <w:r w:rsidRPr="00834B8A">
        <w:rPr>
          <w:rFonts w:eastAsia="MS Mincho"/>
        </w:rPr>
        <w:t xml:space="preserve"> </w:t>
      </w:r>
      <w:r w:rsidR="0056384B" w:rsidRPr="00834B8A">
        <w:rPr>
          <w:rFonts w:ascii="MS Mincho" w:eastAsia="MS Mincho" w:hAnsi="MS Mincho" w:cs="MS Mincho" w:hint="eastAsia"/>
        </w:rPr>
        <w:t> </w:t>
      </w:r>
    </w:p>
    <w:p w:rsidR="0056384B" w:rsidRPr="00834B8A" w:rsidRDefault="0056384B" w:rsidP="00834B8A">
      <w:pPr>
        <w:pStyle w:val="NormalWeb"/>
        <w:spacing w:line="360" w:lineRule="auto"/>
      </w:pPr>
      <w:r w:rsidRPr="00834B8A">
        <w:t>What topic areas are covered by Lexis and Nexus and what is LexisNexis academic</w:t>
      </w:r>
      <w:proofErr w:type="gramStart"/>
      <w:r w:rsidRPr="00834B8A">
        <w:t>?</w:t>
      </w:r>
      <w:r w:rsidRPr="00834B8A">
        <w:rPr>
          <w:rFonts w:ascii="MS Mincho" w:eastAsia="MS Mincho" w:hAnsi="MS Mincho" w:cs="MS Mincho" w:hint="eastAsia"/>
        </w:rPr>
        <w:t> </w:t>
      </w:r>
      <w:proofErr w:type="gramEnd"/>
    </w:p>
    <w:p w:rsidR="0056384B" w:rsidRPr="00834B8A" w:rsidRDefault="0056384B" w:rsidP="00834B8A">
      <w:pPr>
        <w:pStyle w:val="NormalWeb"/>
        <w:spacing w:line="360" w:lineRule="auto"/>
        <w:rPr>
          <w:rFonts w:eastAsia="MS Mincho"/>
        </w:rPr>
      </w:pPr>
      <w:r w:rsidRPr="00834B8A">
        <w:t>Compare and contrast the database structure of Lexis from RIA and CCH tax services.</w:t>
      </w:r>
      <w:r w:rsidRPr="00834B8A">
        <w:rPr>
          <w:rFonts w:ascii="MS Mincho" w:eastAsia="MS Mincho" w:hAnsi="MS Mincho" w:cs="MS Mincho" w:hint="eastAsia"/>
        </w:rPr>
        <w:t> </w:t>
      </w:r>
    </w:p>
    <w:p w:rsidR="00834B8A" w:rsidRPr="00834B8A" w:rsidRDefault="00834B8A" w:rsidP="00834B8A">
      <w:pPr>
        <w:pStyle w:val="NormalWeb"/>
        <w:spacing w:line="360" w:lineRule="auto"/>
        <w:rPr>
          <w:rFonts w:eastAsia="MS Mincho"/>
        </w:rPr>
      </w:pPr>
      <w:r w:rsidRPr="00834B8A">
        <w:rPr>
          <w:rFonts w:eastAsia="MS Mincho"/>
        </w:rPr>
        <w:t>Both tax services use periodic processing</w:t>
      </w:r>
    </w:p>
    <w:p w:rsidR="00834B8A" w:rsidRPr="00834B8A" w:rsidRDefault="00834B8A" w:rsidP="00834B8A">
      <w:pPr>
        <w:pStyle w:val="NormalWeb"/>
        <w:spacing w:line="360" w:lineRule="auto"/>
      </w:pPr>
      <w:r w:rsidRPr="00834B8A">
        <w:rPr>
          <w:rFonts w:eastAsia="MS Mincho"/>
        </w:rPr>
        <w:t>RIA is a master data while CCH is setup.</w:t>
      </w:r>
    </w:p>
    <w:p w:rsidR="0056384B" w:rsidRPr="00834B8A" w:rsidRDefault="0056384B" w:rsidP="00834B8A">
      <w:pPr>
        <w:pStyle w:val="NormalWeb"/>
        <w:spacing w:line="360" w:lineRule="auto"/>
        <w:rPr>
          <w:rFonts w:eastAsia="MS Mincho"/>
        </w:rPr>
      </w:pPr>
      <w:r w:rsidRPr="00834B8A">
        <w:t xml:space="preserve">How will you use tax research in your career to help </w:t>
      </w:r>
      <w:r w:rsidR="00834B8A" w:rsidRPr="00834B8A">
        <w:t>clients</w:t>
      </w:r>
      <w:r w:rsidR="00834B8A" w:rsidRPr="00834B8A">
        <w:rPr>
          <w:rFonts w:ascii="MS Mincho" w:eastAsia="MS Mincho" w:hAnsi="MS Mincho" w:cs="MS Mincho" w:hint="eastAsia"/>
        </w:rPr>
        <w:t> </w:t>
      </w:r>
      <w:r w:rsidR="00834B8A" w:rsidRPr="00834B8A">
        <w:rPr>
          <w:rFonts w:eastAsia="MS Mincho"/>
        </w:rPr>
        <w:t>?</w:t>
      </w:r>
    </w:p>
    <w:p w:rsidR="00834B8A" w:rsidRPr="00834B8A" w:rsidRDefault="00834B8A" w:rsidP="00834B8A">
      <w:pPr>
        <w:pStyle w:val="NormalWeb"/>
        <w:spacing w:line="360" w:lineRule="auto"/>
      </w:pPr>
      <w:r w:rsidRPr="00834B8A">
        <w:rPr>
          <w:rFonts w:eastAsia="MS Mincho"/>
        </w:rPr>
        <w:t>By explaining the clients how the tax helps them by being used in the improvement of the infrastructure</w:t>
      </w:r>
    </w:p>
    <w:p w:rsidR="00090472" w:rsidRDefault="00DE7622" w:rsidP="00834B8A">
      <w:pPr>
        <w:spacing w:line="360" w:lineRule="auto"/>
        <w:rPr>
          <w:rFonts w:ascii="Times New Roman" w:hAnsi="Times New Roman" w:cs="Times New Roman"/>
          <w:sz w:val="24"/>
          <w:szCs w:val="24"/>
        </w:rPr>
      </w:pPr>
    </w:p>
    <w:p w:rsidR="00DE7622" w:rsidRPr="00DE7622" w:rsidRDefault="00DE7622" w:rsidP="00DE7622">
      <w:pPr>
        <w:spacing w:after="0" w:line="240" w:lineRule="auto"/>
        <w:rPr>
          <w:rFonts w:ascii="Times New Roman" w:eastAsia="Times New Roman" w:hAnsi="Times New Roman" w:cs="Times New Roman"/>
          <w:sz w:val="24"/>
          <w:szCs w:val="24"/>
        </w:rPr>
      </w:pPr>
      <w:r w:rsidRPr="00DE7622">
        <w:rPr>
          <w:rFonts w:ascii="Times New Roman" w:eastAsia="Times New Roman" w:hAnsi="Times New Roman" w:cs="Times New Roman"/>
          <w:sz w:val="24"/>
          <w:szCs w:val="24"/>
        </w:rPr>
        <w:t xml:space="preserve">Shackelford, D. A., &amp; Shevlin, T. (2001). Empirical tax research in accounting. </w:t>
      </w:r>
      <w:r w:rsidRPr="00DE7622">
        <w:rPr>
          <w:rFonts w:ascii="Times New Roman" w:eastAsia="Times New Roman" w:hAnsi="Times New Roman" w:cs="Times New Roman"/>
          <w:i/>
          <w:iCs/>
          <w:sz w:val="24"/>
          <w:szCs w:val="24"/>
        </w:rPr>
        <w:t>Journal of accounting and economics</w:t>
      </w:r>
      <w:r w:rsidRPr="00DE7622">
        <w:rPr>
          <w:rFonts w:ascii="Times New Roman" w:eastAsia="Times New Roman" w:hAnsi="Times New Roman" w:cs="Times New Roman"/>
          <w:sz w:val="24"/>
          <w:szCs w:val="24"/>
        </w:rPr>
        <w:t xml:space="preserve">, </w:t>
      </w:r>
      <w:r w:rsidRPr="00DE7622">
        <w:rPr>
          <w:rFonts w:ascii="Times New Roman" w:eastAsia="Times New Roman" w:hAnsi="Times New Roman" w:cs="Times New Roman"/>
          <w:i/>
          <w:iCs/>
          <w:sz w:val="24"/>
          <w:szCs w:val="24"/>
        </w:rPr>
        <w:t>31</w:t>
      </w:r>
      <w:r w:rsidRPr="00DE7622">
        <w:rPr>
          <w:rFonts w:ascii="Times New Roman" w:eastAsia="Times New Roman" w:hAnsi="Times New Roman" w:cs="Times New Roman"/>
          <w:sz w:val="24"/>
          <w:szCs w:val="24"/>
        </w:rPr>
        <w:t>(1), 321-387.</w:t>
      </w:r>
    </w:p>
    <w:p w:rsidR="00DE7622" w:rsidRDefault="00DE7622" w:rsidP="00834B8A">
      <w:pPr>
        <w:spacing w:line="360" w:lineRule="auto"/>
        <w:rPr>
          <w:rFonts w:ascii="Times New Roman" w:hAnsi="Times New Roman" w:cs="Times New Roman"/>
          <w:sz w:val="24"/>
          <w:szCs w:val="24"/>
        </w:rPr>
      </w:pPr>
    </w:p>
    <w:p w:rsidR="00DE7622" w:rsidRPr="00DE7622" w:rsidRDefault="00DE7622" w:rsidP="00DE7622">
      <w:pPr>
        <w:spacing w:after="0" w:line="240" w:lineRule="auto"/>
        <w:rPr>
          <w:rFonts w:ascii="Times New Roman" w:eastAsia="Times New Roman" w:hAnsi="Times New Roman" w:cs="Times New Roman"/>
          <w:sz w:val="24"/>
          <w:szCs w:val="24"/>
        </w:rPr>
      </w:pPr>
      <w:r w:rsidRPr="00DE7622">
        <w:rPr>
          <w:rFonts w:ascii="Times New Roman" w:eastAsia="Times New Roman" w:hAnsi="Times New Roman" w:cs="Times New Roman"/>
          <w:sz w:val="24"/>
          <w:szCs w:val="24"/>
        </w:rPr>
        <w:t xml:space="preserve">Hanlon, M., &amp; Heitzman, S. (2010). A review of tax research. </w:t>
      </w:r>
      <w:r w:rsidRPr="00DE7622">
        <w:rPr>
          <w:rFonts w:ascii="Times New Roman" w:eastAsia="Times New Roman" w:hAnsi="Times New Roman" w:cs="Times New Roman"/>
          <w:i/>
          <w:iCs/>
          <w:sz w:val="24"/>
          <w:szCs w:val="24"/>
        </w:rPr>
        <w:t>Journal of Accounting and Economics</w:t>
      </w:r>
      <w:r w:rsidRPr="00DE7622">
        <w:rPr>
          <w:rFonts w:ascii="Times New Roman" w:eastAsia="Times New Roman" w:hAnsi="Times New Roman" w:cs="Times New Roman"/>
          <w:sz w:val="24"/>
          <w:szCs w:val="24"/>
        </w:rPr>
        <w:t xml:space="preserve">, </w:t>
      </w:r>
      <w:r w:rsidRPr="00DE7622">
        <w:rPr>
          <w:rFonts w:ascii="Times New Roman" w:eastAsia="Times New Roman" w:hAnsi="Times New Roman" w:cs="Times New Roman"/>
          <w:i/>
          <w:iCs/>
          <w:sz w:val="24"/>
          <w:szCs w:val="24"/>
        </w:rPr>
        <w:t>50</w:t>
      </w:r>
      <w:r w:rsidRPr="00DE7622">
        <w:rPr>
          <w:rFonts w:ascii="Times New Roman" w:eastAsia="Times New Roman" w:hAnsi="Times New Roman" w:cs="Times New Roman"/>
          <w:sz w:val="24"/>
          <w:szCs w:val="24"/>
        </w:rPr>
        <w:t>(2), 127-178.</w:t>
      </w:r>
    </w:p>
    <w:p w:rsidR="00DE7622" w:rsidRDefault="00DE7622" w:rsidP="00834B8A">
      <w:pPr>
        <w:spacing w:line="360" w:lineRule="auto"/>
        <w:rPr>
          <w:rFonts w:ascii="Times New Roman" w:hAnsi="Times New Roman" w:cs="Times New Roman"/>
          <w:sz w:val="24"/>
          <w:szCs w:val="24"/>
        </w:rPr>
      </w:pPr>
    </w:p>
    <w:p w:rsidR="00DE7622" w:rsidRPr="00DE7622" w:rsidRDefault="00DE7622" w:rsidP="00DE7622">
      <w:pPr>
        <w:spacing w:after="0" w:line="240" w:lineRule="auto"/>
        <w:rPr>
          <w:rFonts w:ascii="Times New Roman" w:eastAsia="Times New Roman" w:hAnsi="Times New Roman" w:cs="Times New Roman"/>
          <w:sz w:val="24"/>
          <w:szCs w:val="24"/>
        </w:rPr>
      </w:pPr>
      <w:r w:rsidRPr="00DE7622">
        <w:rPr>
          <w:rFonts w:ascii="Times New Roman" w:eastAsia="Times New Roman" w:hAnsi="Times New Roman" w:cs="Times New Roman"/>
          <w:sz w:val="24"/>
          <w:szCs w:val="24"/>
        </w:rPr>
        <w:t xml:space="preserve">Cloyd, C. B. (1997). Performance in tax research tasks: The joint effects of knowledge and accountability. </w:t>
      </w:r>
      <w:r w:rsidRPr="00DE7622">
        <w:rPr>
          <w:rFonts w:ascii="Times New Roman" w:eastAsia="Times New Roman" w:hAnsi="Times New Roman" w:cs="Times New Roman"/>
          <w:i/>
          <w:iCs/>
          <w:sz w:val="24"/>
          <w:szCs w:val="24"/>
        </w:rPr>
        <w:t>Accounting Review</w:t>
      </w:r>
      <w:r w:rsidRPr="00DE7622">
        <w:rPr>
          <w:rFonts w:ascii="Times New Roman" w:eastAsia="Times New Roman" w:hAnsi="Times New Roman" w:cs="Times New Roman"/>
          <w:sz w:val="24"/>
          <w:szCs w:val="24"/>
        </w:rPr>
        <w:t>, 111-131.</w:t>
      </w:r>
    </w:p>
    <w:p w:rsidR="00DE7622" w:rsidRDefault="00DE7622" w:rsidP="00834B8A">
      <w:pPr>
        <w:spacing w:line="360" w:lineRule="auto"/>
        <w:rPr>
          <w:rFonts w:ascii="Times New Roman" w:hAnsi="Times New Roman" w:cs="Times New Roman"/>
          <w:sz w:val="24"/>
          <w:szCs w:val="24"/>
        </w:rPr>
      </w:pPr>
    </w:p>
    <w:p w:rsidR="00DE7622" w:rsidRPr="00DE7622" w:rsidRDefault="00DE7622" w:rsidP="00DE7622">
      <w:pPr>
        <w:spacing w:after="0" w:line="240" w:lineRule="auto"/>
        <w:rPr>
          <w:rFonts w:ascii="Times New Roman" w:eastAsia="Times New Roman" w:hAnsi="Times New Roman" w:cs="Times New Roman"/>
          <w:sz w:val="24"/>
          <w:szCs w:val="24"/>
        </w:rPr>
      </w:pPr>
      <w:r w:rsidRPr="00DE7622">
        <w:rPr>
          <w:rFonts w:ascii="Times New Roman" w:eastAsia="Times New Roman" w:hAnsi="Times New Roman" w:cs="Times New Roman"/>
          <w:sz w:val="24"/>
          <w:szCs w:val="24"/>
        </w:rPr>
        <w:t xml:space="preserve">Elffers, H., &amp; Hessing, D. J. (1997). Influencing the prospects of tax evasion. </w:t>
      </w:r>
      <w:r w:rsidRPr="00DE7622">
        <w:rPr>
          <w:rFonts w:ascii="Times New Roman" w:eastAsia="Times New Roman" w:hAnsi="Times New Roman" w:cs="Times New Roman"/>
          <w:i/>
          <w:iCs/>
          <w:sz w:val="24"/>
          <w:szCs w:val="24"/>
        </w:rPr>
        <w:t>Journal of economic psychology</w:t>
      </w:r>
      <w:r w:rsidRPr="00DE7622">
        <w:rPr>
          <w:rFonts w:ascii="Times New Roman" w:eastAsia="Times New Roman" w:hAnsi="Times New Roman" w:cs="Times New Roman"/>
          <w:sz w:val="24"/>
          <w:szCs w:val="24"/>
        </w:rPr>
        <w:t xml:space="preserve">, </w:t>
      </w:r>
      <w:r w:rsidRPr="00DE7622">
        <w:rPr>
          <w:rFonts w:ascii="Times New Roman" w:eastAsia="Times New Roman" w:hAnsi="Times New Roman" w:cs="Times New Roman"/>
          <w:i/>
          <w:iCs/>
          <w:sz w:val="24"/>
          <w:szCs w:val="24"/>
        </w:rPr>
        <w:t>18</w:t>
      </w:r>
      <w:r w:rsidRPr="00DE7622">
        <w:rPr>
          <w:rFonts w:ascii="Times New Roman" w:eastAsia="Times New Roman" w:hAnsi="Times New Roman" w:cs="Times New Roman"/>
          <w:sz w:val="24"/>
          <w:szCs w:val="24"/>
        </w:rPr>
        <w:t>(2), 289-304.</w:t>
      </w:r>
    </w:p>
    <w:p w:rsidR="00DE7622" w:rsidRDefault="00DE7622" w:rsidP="00834B8A">
      <w:pPr>
        <w:spacing w:line="360" w:lineRule="auto"/>
        <w:rPr>
          <w:rFonts w:ascii="Times New Roman" w:hAnsi="Times New Roman" w:cs="Times New Roman"/>
          <w:sz w:val="24"/>
          <w:szCs w:val="24"/>
        </w:rPr>
      </w:pPr>
    </w:p>
    <w:p w:rsidR="00DE7622" w:rsidRPr="00DE7622" w:rsidRDefault="00DE7622" w:rsidP="00DE7622">
      <w:pPr>
        <w:spacing w:after="0" w:line="240" w:lineRule="auto"/>
        <w:rPr>
          <w:rFonts w:ascii="Times New Roman" w:eastAsia="Times New Roman" w:hAnsi="Times New Roman" w:cs="Times New Roman"/>
          <w:sz w:val="24"/>
          <w:szCs w:val="24"/>
        </w:rPr>
      </w:pPr>
      <w:r w:rsidRPr="00DE7622">
        <w:rPr>
          <w:rFonts w:ascii="Times New Roman" w:eastAsia="Times New Roman" w:hAnsi="Times New Roman" w:cs="Times New Roman"/>
          <w:sz w:val="24"/>
          <w:szCs w:val="24"/>
        </w:rPr>
        <w:t xml:space="preserve">Cloyd, C. B. (1995). Prior knowledge, information search behaviors, and performance in tax research tasks. </w:t>
      </w:r>
      <w:r w:rsidRPr="00DE7622">
        <w:rPr>
          <w:rFonts w:ascii="Times New Roman" w:eastAsia="Times New Roman" w:hAnsi="Times New Roman" w:cs="Times New Roman"/>
          <w:i/>
          <w:iCs/>
          <w:sz w:val="24"/>
          <w:szCs w:val="24"/>
        </w:rPr>
        <w:t>The Journal of the American Taxation Association</w:t>
      </w:r>
      <w:r w:rsidRPr="00DE7622">
        <w:rPr>
          <w:rFonts w:ascii="Times New Roman" w:eastAsia="Times New Roman" w:hAnsi="Times New Roman" w:cs="Times New Roman"/>
          <w:sz w:val="24"/>
          <w:szCs w:val="24"/>
        </w:rPr>
        <w:t xml:space="preserve">, </w:t>
      </w:r>
      <w:r w:rsidRPr="00DE7622">
        <w:rPr>
          <w:rFonts w:ascii="Times New Roman" w:eastAsia="Times New Roman" w:hAnsi="Times New Roman" w:cs="Times New Roman"/>
          <w:i/>
          <w:iCs/>
          <w:sz w:val="24"/>
          <w:szCs w:val="24"/>
        </w:rPr>
        <w:t>17</w:t>
      </w:r>
      <w:r w:rsidRPr="00DE7622">
        <w:rPr>
          <w:rFonts w:ascii="Times New Roman" w:eastAsia="Times New Roman" w:hAnsi="Times New Roman" w:cs="Times New Roman"/>
          <w:sz w:val="24"/>
          <w:szCs w:val="24"/>
        </w:rPr>
        <w:t>, 82.</w:t>
      </w:r>
    </w:p>
    <w:p w:rsidR="00DE7622" w:rsidRPr="00834B8A" w:rsidRDefault="00DE7622" w:rsidP="00834B8A">
      <w:pPr>
        <w:spacing w:line="360" w:lineRule="auto"/>
        <w:rPr>
          <w:rFonts w:ascii="Times New Roman" w:hAnsi="Times New Roman" w:cs="Times New Roman"/>
          <w:sz w:val="24"/>
          <w:szCs w:val="24"/>
        </w:rPr>
      </w:pPr>
    </w:p>
    <w:sectPr w:rsidR="00DE7622" w:rsidRPr="00834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57"/>
    <w:rsid w:val="00077A61"/>
    <w:rsid w:val="000A521C"/>
    <w:rsid w:val="0056384B"/>
    <w:rsid w:val="00610B57"/>
    <w:rsid w:val="00632AF2"/>
    <w:rsid w:val="008111E0"/>
    <w:rsid w:val="00834B8A"/>
    <w:rsid w:val="00D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8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343">
      <w:bodyDiv w:val="1"/>
      <w:marLeft w:val="0"/>
      <w:marRight w:val="0"/>
      <w:marTop w:val="0"/>
      <w:marBottom w:val="0"/>
      <w:divBdr>
        <w:top w:val="none" w:sz="0" w:space="0" w:color="auto"/>
        <w:left w:val="none" w:sz="0" w:space="0" w:color="auto"/>
        <w:bottom w:val="none" w:sz="0" w:space="0" w:color="auto"/>
        <w:right w:val="none" w:sz="0" w:space="0" w:color="auto"/>
      </w:divBdr>
    </w:div>
    <w:div w:id="520362533">
      <w:bodyDiv w:val="1"/>
      <w:marLeft w:val="0"/>
      <w:marRight w:val="0"/>
      <w:marTop w:val="0"/>
      <w:marBottom w:val="0"/>
      <w:divBdr>
        <w:top w:val="none" w:sz="0" w:space="0" w:color="auto"/>
        <w:left w:val="none" w:sz="0" w:space="0" w:color="auto"/>
        <w:bottom w:val="none" w:sz="0" w:space="0" w:color="auto"/>
        <w:right w:val="none" w:sz="0" w:space="0" w:color="auto"/>
      </w:divBdr>
      <w:divsChild>
        <w:div w:id="2125227149">
          <w:marLeft w:val="0"/>
          <w:marRight w:val="0"/>
          <w:marTop w:val="0"/>
          <w:marBottom w:val="0"/>
          <w:divBdr>
            <w:top w:val="none" w:sz="0" w:space="0" w:color="auto"/>
            <w:left w:val="none" w:sz="0" w:space="0" w:color="auto"/>
            <w:bottom w:val="none" w:sz="0" w:space="0" w:color="auto"/>
            <w:right w:val="none" w:sz="0" w:space="0" w:color="auto"/>
          </w:divBdr>
        </w:div>
      </w:divsChild>
    </w:div>
    <w:div w:id="1210340957">
      <w:bodyDiv w:val="1"/>
      <w:marLeft w:val="0"/>
      <w:marRight w:val="0"/>
      <w:marTop w:val="0"/>
      <w:marBottom w:val="0"/>
      <w:divBdr>
        <w:top w:val="none" w:sz="0" w:space="0" w:color="auto"/>
        <w:left w:val="none" w:sz="0" w:space="0" w:color="auto"/>
        <w:bottom w:val="none" w:sz="0" w:space="0" w:color="auto"/>
        <w:right w:val="none" w:sz="0" w:space="0" w:color="auto"/>
      </w:divBdr>
      <w:divsChild>
        <w:div w:id="1491677863">
          <w:marLeft w:val="0"/>
          <w:marRight w:val="0"/>
          <w:marTop w:val="0"/>
          <w:marBottom w:val="0"/>
          <w:divBdr>
            <w:top w:val="none" w:sz="0" w:space="0" w:color="auto"/>
            <w:left w:val="none" w:sz="0" w:space="0" w:color="auto"/>
            <w:bottom w:val="none" w:sz="0" w:space="0" w:color="auto"/>
            <w:right w:val="none" w:sz="0" w:space="0" w:color="auto"/>
          </w:divBdr>
        </w:div>
      </w:divsChild>
    </w:div>
    <w:div w:id="1482041265">
      <w:bodyDiv w:val="1"/>
      <w:marLeft w:val="0"/>
      <w:marRight w:val="0"/>
      <w:marTop w:val="0"/>
      <w:marBottom w:val="0"/>
      <w:divBdr>
        <w:top w:val="none" w:sz="0" w:space="0" w:color="auto"/>
        <w:left w:val="none" w:sz="0" w:space="0" w:color="auto"/>
        <w:bottom w:val="none" w:sz="0" w:space="0" w:color="auto"/>
        <w:right w:val="none" w:sz="0" w:space="0" w:color="auto"/>
      </w:divBdr>
      <w:divsChild>
        <w:div w:id="874388222">
          <w:marLeft w:val="0"/>
          <w:marRight w:val="0"/>
          <w:marTop w:val="0"/>
          <w:marBottom w:val="0"/>
          <w:divBdr>
            <w:top w:val="none" w:sz="0" w:space="0" w:color="auto"/>
            <w:left w:val="none" w:sz="0" w:space="0" w:color="auto"/>
            <w:bottom w:val="none" w:sz="0" w:space="0" w:color="auto"/>
            <w:right w:val="none" w:sz="0" w:space="0" w:color="auto"/>
          </w:divBdr>
        </w:div>
        <w:div w:id="443157280">
          <w:marLeft w:val="0"/>
          <w:marRight w:val="0"/>
          <w:marTop w:val="0"/>
          <w:marBottom w:val="0"/>
          <w:divBdr>
            <w:top w:val="none" w:sz="0" w:space="0" w:color="auto"/>
            <w:left w:val="none" w:sz="0" w:space="0" w:color="auto"/>
            <w:bottom w:val="none" w:sz="0" w:space="0" w:color="auto"/>
            <w:right w:val="none" w:sz="0" w:space="0" w:color="auto"/>
          </w:divBdr>
        </w:div>
        <w:div w:id="1457486569">
          <w:marLeft w:val="0"/>
          <w:marRight w:val="0"/>
          <w:marTop w:val="0"/>
          <w:marBottom w:val="0"/>
          <w:divBdr>
            <w:top w:val="none" w:sz="0" w:space="0" w:color="auto"/>
            <w:left w:val="none" w:sz="0" w:space="0" w:color="auto"/>
            <w:bottom w:val="none" w:sz="0" w:space="0" w:color="auto"/>
            <w:right w:val="none" w:sz="0" w:space="0" w:color="auto"/>
          </w:divBdr>
        </w:div>
        <w:div w:id="1981155817">
          <w:marLeft w:val="0"/>
          <w:marRight w:val="0"/>
          <w:marTop w:val="0"/>
          <w:marBottom w:val="0"/>
          <w:divBdr>
            <w:top w:val="none" w:sz="0" w:space="0" w:color="auto"/>
            <w:left w:val="none" w:sz="0" w:space="0" w:color="auto"/>
            <w:bottom w:val="none" w:sz="0" w:space="0" w:color="auto"/>
            <w:right w:val="none" w:sz="0" w:space="0" w:color="auto"/>
          </w:divBdr>
        </w:div>
        <w:div w:id="703557418">
          <w:marLeft w:val="0"/>
          <w:marRight w:val="0"/>
          <w:marTop w:val="0"/>
          <w:marBottom w:val="0"/>
          <w:divBdr>
            <w:top w:val="none" w:sz="0" w:space="0" w:color="auto"/>
            <w:left w:val="none" w:sz="0" w:space="0" w:color="auto"/>
            <w:bottom w:val="none" w:sz="0" w:space="0" w:color="auto"/>
            <w:right w:val="none" w:sz="0" w:space="0" w:color="auto"/>
          </w:divBdr>
        </w:div>
        <w:div w:id="1394428152">
          <w:marLeft w:val="0"/>
          <w:marRight w:val="0"/>
          <w:marTop w:val="0"/>
          <w:marBottom w:val="0"/>
          <w:divBdr>
            <w:top w:val="none" w:sz="0" w:space="0" w:color="auto"/>
            <w:left w:val="none" w:sz="0" w:space="0" w:color="auto"/>
            <w:bottom w:val="none" w:sz="0" w:space="0" w:color="auto"/>
            <w:right w:val="none" w:sz="0" w:space="0" w:color="auto"/>
          </w:divBdr>
        </w:div>
        <w:div w:id="1735424741">
          <w:marLeft w:val="0"/>
          <w:marRight w:val="0"/>
          <w:marTop w:val="0"/>
          <w:marBottom w:val="0"/>
          <w:divBdr>
            <w:top w:val="none" w:sz="0" w:space="0" w:color="auto"/>
            <w:left w:val="none" w:sz="0" w:space="0" w:color="auto"/>
            <w:bottom w:val="none" w:sz="0" w:space="0" w:color="auto"/>
            <w:right w:val="none" w:sz="0" w:space="0" w:color="auto"/>
          </w:divBdr>
        </w:div>
      </w:divsChild>
    </w:div>
    <w:div w:id="1557930366">
      <w:bodyDiv w:val="1"/>
      <w:marLeft w:val="0"/>
      <w:marRight w:val="0"/>
      <w:marTop w:val="0"/>
      <w:marBottom w:val="0"/>
      <w:divBdr>
        <w:top w:val="none" w:sz="0" w:space="0" w:color="auto"/>
        <w:left w:val="none" w:sz="0" w:space="0" w:color="auto"/>
        <w:bottom w:val="none" w:sz="0" w:space="0" w:color="auto"/>
        <w:right w:val="none" w:sz="0" w:space="0" w:color="auto"/>
      </w:divBdr>
      <w:divsChild>
        <w:div w:id="1341858057">
          <w:marLeft w:val="0"/>
          <w:marRight w:val="0"/>
          <w:marTop w:val="0"/>
          <w:marBottom w:val="0"/>
          <w:divBdr>
            <w:top w:val="none" w:sz="0" w:space="0" w:color="auto"/>
            <w:left w:val="none" w:sz="0" w:space="0" w:color="auto"/>
            <w:bottom w:val="none" w:sz="0" w:space="0" w:color="auto"/>
            <w:right w:val="none" w:sz="0" w:space="0" w:color="auto"/>
          </w:divBdr>
        </w:div>
      </w:divsChild>
    </w:div>
    <w:div w:id="1785416954">
      <w:bodyDiv w:val="1"/>
      <w:marLeft w:val="0"/>
      <w:marRight w:val="0"/>
      <w:marTop w:val="0"/>
      <w:marBottom w:val="0"/>
      <w:divBdr>
        <w:top w:val="none" w:sz="0" w:space="0" w:color="auto"/>
        <w:left w:val="none" w:sz="0" w:space="0" w:color="auto"/>
        <w:bottom w:val="none" w:sz="0" w:space="0" w:color="auto"/>
        <w:right w:val="none" w:sz="0" w:space="0" w:color="auto"/>
      </w:divBdr>
      <w:divsChild>
        <w:div w:id="1504051887">
          <w:marLeft w:val="0"/>
          <w:marRight w:val="0"/>
          <w:marTop w:val="0"/>
          <w:marBottom w:val="0"/>
          <w:divBdr>
            <w:top w:val="none" w:sz="0" w:space="0" w:color="auto"/>
            <w:left w:val="none" w:sz="0" w:space="0" w:color="auto"/>
            <w:bottom w:val="none" w:sz="0" w:space="0" w:color="auto"/>
            <w:right w:val="none" w:sz="0" w:space="0" w:color="auto"/>
          </w:divBdr>
        </w:div>
      </w:divsChild>
    </w:div>
    <w:div w:id="1942029301">
      <w:bodyDiv w:val="1"/>
      <w:marLeft w:val="0"/>
      <w:marRight w:val="0"/>
      <w:marTop w:val="0"/>
      <w:marBottom w:val="0"/>
      <w:divBdr>
        <w:top w:val="none" w:sz="0" w:space="0" w:color="auto"/>
        <w:left w:val="none" w:sz="0" w:space="0" w:color="auto"/>
        <w:bottom w:val="none" w:sz="0" w:space="0" w:color="auto"/>
        <w:right w:val="none" w:sz="0" w:space="0" w:color="auto"/>
      </w:divBdr>
      <w:divsChild>
        <w:div w:id="214646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2016-03-20T15:42:00Z</dcterms:created>
  <dcterms:modified xsi:type="dcterms:W3CDTF">2016-03-20T16:49:00Z</dcterms:modified>
</cp:coreProperties>
</file>